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240" w:afterLines="100" w:line="360" w:lineRule="auto"/>
        <w:jc w:val="center"/>
        <w:rPr>
          <w:rFonts w:hint="eastAsia" w:ascii="宋体" w:hAnsi="宋体" w:eastAsia="宋体" w:cs="宋体"/>
          <w:b/>
          <w:spacing w:val="40"/>
          <w:sz w:val="72"/>
          <w:szCs w:val="24"/>
          <w:highlight w:val="none"/>
        </w:rPr>
      </w:pPr>
      <w:bookmarkStart w:id="153" w:name="_GoBack"/>
      <w:bookmarkEnd w:id="153"/>
    </w:p>
    <w:p>
      <w:pPr>
        <w:spacing w:before="120" w:beforeLines="50" w:after="240" w:afterLines="100" w:line="360" w:lineRule="auto"/>
        <w:jc w:val="center"/>
        <w:rPr>
          <w:rFonts w:hint="eastAsia" w:ascii="宋体" w:hAnsi="宋体" w:eastAsia="宋体" w:cs="宋体"/>
          <w:b/>
          <w:spacing w:val="40"/>
          <w:sz w:val="72"/>
          <w:szCs w:val="24"/>
          <w:highlight w:val="none"/>
        </w:rPr>
      </w:pPr>
    </w:p>
    <w:p>
      <w:pPr>
        <w:spacing w:line="360" w:lineRule="auto"/>
        <w:jc w:val="center"/>
        <w:rPr>
          <w:rFonts w:hint="eastAsia" w:ascii="宋体" w:hAnsi="宋体" w:eastAsia="宋体" w:cs="宋体"/>
          <w:b/>
          <w:spacing w:val="-80"/>
          <w:sz w:val="72"/>
          <w:szCs w:val="24"/>
          <w:highlight w:val="none"/>
        </w:rPr>
      </w:pPr>
      <w:r>
        <w:rPr>
          <w:rFonts w:hint="eastAsia" w:ascii="宋体" w:hAnsi="宋体" w:eastAsia="宋体" w:cs="宋体"/>
          <w:b/>
          <w:spacing w:val="-80"/>
          <w:sz w:val="72"/>
          <w:szCs w:val="24"/>
          <w:highlight w:val="none"/>
          <w:lang w:val="en-US" w:eastAsia="zh-CN"/>
        </w:rPr>
        <w:t>比选</w:t>
      </w:r>
      <w:r>
        <w:rPr>
          <w:rFonts w:hint="eastAsia" w:ascii="宋体" w:hAnsi="宋体" w:eastAsia="宋体" w:cs="宋体"/>
          <w:b/>
          <w:spacing w:val="-80"/>
          <w:sz w:val="72"/>
          <w:szCs w:val="24"/>
          <w:highlight w:val="none"/>
        </w:rPr>
        <w:t>文件</w:t>
      </w:r>
    </w:p>
    <w:p>
      <w:pPr>
        <w:spacing w:line="360" w:lineRule="auto"/>
        <w:ind w:firstLine="3213" w:firstLineChars="1000"/>
        <w:rPr>
          <w:rFonts w:hint="eastAsia" w:ascii="宋体" w:hAnsi="宋体" w:eastAsia="宋体" w:cs="宋体"/>
          <w:b/>
          <w:sz w:val="32"/>
          <w:szCs w:val="24"/>
          <w:highlight w:val="none"/>
        </w:rPr>
      </w:pPr>
    </w:p>
    <w:p>
      <w:pPr>
        <w:pStyle w:val="32"/>
        <w:spacing w:line="360" w:lineRule="auto"/>
        <w:rPr>
          <w:rFonts w:hint="eastAsia" w:ascii="宋体" w:hAnsi="宋体" w:eastAsia="宋体" w:cs="宋体"/>
          <w:highlight w:val="none"/>
        </w:rPr>
      </w:pPr>
    </w:p>
    <w:p>
      <w:pPr>
        <w:pStyle w:val="32"/>
        <w:spacing w:line="360" w:lineRule="auto"/>
        <w:rPr>
          <w:rFonts w:hint="eastAsia" w:ascii="宋体" w:hAnsi="宋体" w:eastAsia="宋体" w:cs="宋体"/>
          <w:highlight w:val="none"/>
        </w:rPr>
      </w:pPr>
    </w:p>
    <w:p>
      <w:pPr>
        <w:pStyle w:val="32"/>
        <w:spacing w:line="360" w:lineRule="auto"/>
        <w:rPr>
          <w:rFonts w:hint="eastAsia" w:ascii="宋体" w:hAnsi="宋体" w:eastAsia="宋体" w:cs="宋体"/>
          <w:highlight w:val="none"/>
        </w:rPr>
      </w:pPr>
    </w:p>
    <w:p>
      <w:pPr>
        <w:spacing w:line="36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lang w:val="en-US" w:eastAsia="zh-CN"/>
        </w:rPr>
        <w:t>北京急救中心2026年度网站运维技术服务项目</w:t>
      </w:r>
    </w:p>
    <w:p>
      <w:pPr>
        <w:spacing w:line="360" w:lineRule="auto"/>
        <w:rPr>
          <w:rFonts w:hint="eastAsia" w:ascii="宋体" w:hAnsi="宋体" w:eastAsia="宋体" w:cs="宋体"/>
          <w:b/>
          <w:sz w:val="32"/>
          <w:szCs w:val="32"/>
          <w:highlight w:val="none"/>
        </w:rPr>
      </w:pPr>
    </w:p>
    <w:p>
      <w:pPr>
        <w:spacing w:line="360" w:lineRule="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采购人：北京急救中心</w:t>
      </w:r>
    </w:p>
    <w:p>
      <w:pPr>
        <w:spacing w:line="360" w:lineRule="auto"/>
        <w:ind w:firstLine="1430" w:firstLineChars="445"/>
        <w:rPr>
          <w:rFonts w:hint="eastAsia" w:ascii="宋体" w:hAnsi="宋体" w:eastAsia="宋体" w:cs="宋体"/>
          <w:b/>
          <w:sz w:val="32"/>
          <w:szCs w:val="32"/>
          <w:highlight w:val="none"/>
        </w:rPr>
      </w:pPr>
    </w:p>
    <w:p>
      <w:pPr>
        <w:spacing w:before="120" w:after="360" w:line="360" w:lineRule="auto"/>
        <w:jc w:val="both"/>
        <w:rPr>
          <w:rFonts w:hint="eastAsia" w:ascii="宋体" w:hAnsi="宋体" w:eastAsia="宋体" w:cs="宋体"/>
          <w:b/>
          <w:sz w:val="32"/>
          <w:szCs w:val="32"/>
          <w:highlight w:val="none"/>
        </w:rPr>
      </w:pPr>
    </w:p>
    <w:p>
      <w:pPr>
        <w:pStyle w:val="32"/>
        <w:spacing w:line="360" w:lineRule="auto"/>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jc w:val="both"/>
        <w:rPr>
          <w:rFonts w:hint="eastAsia" w:ascii="宋体" w:hAnsi="宋体" w:eastAsia="宋体" w:cs="宋体"/>
          <w:highlight w:val="none"/>
        </w:rPr>
      </w:pPr>
      <w:bookmarkStart w:id="0" w:name="_Toc17775_WPSOffice_Level1"/>
      <w:bookmarkStart w:id="1" w:name="_Toc5175"/>
      <w:bookmarkStart w:id="2" w:name="_Toc2035"/>
      <w:bookmarkStart w:id="3" w:name="_Toc63415100"/>
    </w:p>
    <w:p>
      <w:pPr>
        <w:pStyle w:val="2"/>
        <w:spacing w:after="0" w:afterAutospacing="0" w:line="360" w:lineRule="auto"/>
        <w:jc w:val="center"/>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eastAsia="zh-CN"/>
        </w:rPr>
        <w:t>一</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参选人</w:t>
      </w:r>
      <w:r>
        <w:rPr>
          <w:rFonts w:hint="eastAsia" w:ascii="宋体" w:hAnsi="宋体" w:eastAsia="宋体" w:cs="宋体"/>
          <w:highlight w:val="none"/>
        </w:rPr>
        <w:t>须知</w:t>
      </w:r>
      <w:bookmarkEnd w:id="0"/>
      <w:bookmarkEnd w:id="1"/>
      <w:bookmarkEnd w:id="2"/>
      <w:bookmarkEnd w:id="3"/>
      <w:bookmarkStart w:id="4" w:name="_Toc247898375"/>
      <w:bookmarkStart w:id="5" w:name="一"/>
    </w:p>
    <w:p>
      <w:pPr>
        <w:spacing w:beforeAutospacing="0" w:line="360" w:lineRule="auto"/>
        <w:jc w:val="left"/>
        <w:rPr>
          <w:rFonts w:hint="eastAsia" w:ascii="宋体" w:hAnsi="宋体" w:eastAsia="宋体" w:cs="宋体"/>
          <w:b/>
          <w:sz w:val="28"/>
          <w:szCs w:val="28"/>
          <w:highlight w:val="none"/>
        </w:rPr>
      </w:pPr>
      <w:bookmarkStart w:id="6" w:name="_Toc332809333"/>
      <w:bookmarkStart w:id="7" w:name="_Toc8287_WPSOffice_Level2"/>
      <w:r>
        <w:rPr>
          <w:rFonts w:hint="eastAsia" w:ascii="宋体" w:hAnsi="宋体" w:eastAsia="宋体" w:cs="宋体"/>
          <w:b/>
          <w:sz w:val="28"/>
          <w:szCs w:val="28"/>
          <w:highlight w:val="none"/>
        </w:rPr>
        <w:t>一</w:t>
      </w:r>
      <w:bookmarkEnd w:id="4"/>
      <w:bookmarkEnd w:id="5"/>
      <w:bookmarkStart w:id="8" w:name="附件十"/>
      <w:bookmarkEnd w:id="8"/>
      <w:r>
        <w:rPr>
          <w:rFonts w:hint="eastAsia" w:ascii="宋体" w:hAnsi="宋体" w:eastAsia="宋体" w:cs="宋体"/>
          <w:b/>
          <w:sz w:val="28"/>
          <w:szCs w:val="28"/>
          <w:highlight w:val="none"/>
        </w:rPr>
        <w:t xml:space="preserve"> 说明</w:t>
      </w:r>
      <w:bookmarkEnd w:id="6"/>
      <w:bookmarkEnd w:id="7"/>
      <w:bookmarkStart w:id="9" w:name="_Toc247898376"/>
      <w:bookmarkStart w:id="10" w:name="采购人、招标代理机构和被邀请谈判人的范围"/>
    </w:p>
    <w:p>
      <w:pPr>
        <w:spacing w:line="360" w:lineRule="auto"/>
        <w:jc w:val="left"/>
        <w:rPr>
          <w:rFonts w:hint="eastAsia" w:ascii="宋体" w:hAnsi="宋体" w:eastAsia="宋体" w:cs="宋体"/>
          <w:b/>
          <w:sz w:val="24"/>
          <w:szCs w:val="24"/>
          <w:highlight w:val="none"/>
        </w:rPr>
      </w:pPr>
      <w:bookmarkStart w:id="11" w:name="_Toc17775_WPSOffice_Level3"/>
      <w:bookmarkStart w:id="12" w:name="_Toc332809334"/>
      <w:r>
        <w:rPr>
          <w:rFonts w:hint="eastAsia" w:ascii="宋体" w:hAnsi="宋体" w:eastAsia="宋体" w:cs="宋体"/>
          <w:b/>
          <w:sz w:val="24"/>
          <w:szCs w:val="24"/>
          <w:highlight w:val="none"/>
        </w:rPr>
        <w:t>1.采购人、</w:t>
      </w:r>
      <w:r>
        <w:rPr>
          <w:rFonts w:hint="eastAsia" w:ascii="宋体" w:hAnsi="宋体" w:eastAsia="宋体" w:cs="宋体"/>
          <w:b/>
          <w:sz w:val="24"/>
          <w:szCs w:val="24"/>
          <w:highlight w:val="none"/>
          <w:lang w:eastAsia="zh-CN"/>
        </w:rPr>
        <w:t>参选人</w:t>
      </w:r>
      <w:r>
        <w:rPr>
          <w:rFonts w:hint="eastAsia" w:ascii="宋体" w:hAnsi="宋体" w:eastAsia="宋体" w:cs="宋体"/>
          <w:b/>
          <w:sz w:val="24"/>
          <w:szCs w:val="24"/>
          <w:highlight w:val="none"/>
        </w:rPr>
        <w:t>的范围</w:t>
      </w:r>
      <w:bookmarkEnd w:id="9"/>
      <w:bookmarkEnd w:id="10"/>
      <w:bookmarkEnd w:id="11"/>
      <w:bookmarkEnd w:id="12"/>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满足以下条件的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是合格的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，可以参加本次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是指有生产或供应能力，向采购人提供货物或服务的法人、其他组织或自然人。</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.2具备</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（5）参加本次采购活动前三年内，在经营活动中没有重大违法记录；</w:t>
      </w:r>
    </w:p>
    <w:p>
      <w:pPr>
        <w:spacing w:line="360" w:lineRule="auto"/>
        <w:jc w:val="left"/>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u w:val="none"/>
          <w:lang w:val="en-US" w:eastAsia="zh-CN"/>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为法人的，应当依法注册，具有独立法人资格。</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.4在法律上和财务上独立、合法运作并独立于采购人之外。</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必须向</w:t>
      </w:r>
      <w:r>
        <w:rPr>
          <w:rFonts w:hint="eastAsia" w:ascii="宋体" w:hAnsi="宋体" w:eastAsia="宋体" w:cs="宋体"/>
          <w:sz w:val="24"/>
          <w:szCs w:val="24"/>
          <w:highlight w:val="none"/>
          <w:lang w:eastAsia="zh-CN"/>
        </w:rPr>
        <w:t>采购人提交《报名表》</w:t>
      </w:r>
      <w:r>
        <w:rPr>
          <w:rFonts w:hint="eastAsia" w:ascii="宋体" w:hAnsi="宋体" w:eastAsia="宋体" w:cs="宋体"/>
          <w:sz w:val="24"/>
          <w:szCs w:val="24"/>
          <w:highlight w:val="none"/>
        </w:rPr>
        <w:t>，未向</w:t>
      </w:r>
      <w:r>
        <w:rPr>
          <w:rFonts w:hint="eastAsia" w:ascii="宋体" w:hAnsi="宋体" w:eastAsia="宋体" w:cs="宋体"/>
          <w:sz w:val="24"/>
          <w:szCs w:val="24"/>
          <w:highlight w:val="none"/>
          <w:lang w:eastAsia="zh-CN"/>
        </w:rPr>
        <w:t>采购人提交《报名表》</w:t>
      </w:r>
      <w:r>
        <w:rPr>
          <w:rFonts w:hint="eastAsia" w:ascii="宋体" w:hAnsi="宋体" w:eastAsia="宋体" w:cs="宋体"/>
          <w:sz w:val="24"/>
          <w:szCs w:val="24"/>
          <w:highlight w:val="none"/>
        </w:rPr>
        <w:t>无资格参加本次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1.3单位负责人为同一人或者存在直接控股、管理关系的不同供应商，不得参加同一合同项下的采购活动。为采购项目提供整体设计、规范编制或者项目管理、监理、检测等服务的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，不得再参加该采购项目的其他采购活动。</w:t>
      </w:r>
    </w:p>
    <w:p>
      <w:pPr>
        <w:spacing w:line="360" w:lineRule="auto"/>
        <w:jc w:val="left"/>
        <w:rPr>
          <w:rFonts w:hint="eastAsia" w:ascii="宋体" w:hAnsi="宋体" w:eastAsia="宋体" w:cs="宋体"/>
          <w:b/>
          <w:sz w:val="28"/>
          <w:szCs w:val="28"/>
          <w:highlight w:val="none"/>
        </w:rPr>
      </w:pPr>
      <w:bookmarkStart w:id="13" w:name="_Toc332809339"/>
      <w:bookmarkStart w:id="14" w:name="_Toc9062_WPSOffice_Level2"/>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二 </w:t>
      </w:r>
      <w:r>
        <w:rPr>
          <w:rFonts w:hint="eastAsia" w:ascii="宋体" w:hAnsi="宋体" w:eastAsia="宋体" w:cs="宋体"/>
          <w:b/>
          <w:sz w:val="28"/>
          <w:szCs w:val="28"/>
          <w:highlight w:val="none"/>
          <w:lang w:eastAsia="zh-CN"/>
        </w:rPr>
        <w:t>比选</w:t>
      </w:r>
      <w:r>
        <w:rPr>
          <w:rFonts w:hint="eastAsia" w:ascii="宋体" w:hAnsi="宋体" w:eastAsia="宋体" w:cs="宋体"/>
          <w:b/>
          <w:sz w:val="28"/>
          <w:szCs w:val="28"/>
          <w:highlight w:val="none"/>
        </w:rPr>
        <w:t>小组</w:t>
      </w:r>
      <w:bookmarkEnd w:id="13"/>
      <w:bookmarkEnd w:id="14"/>
    </w:p>
    <w:p>
      <w:pPr>
        <w:spacing w:line="360" w:lineRule="auto"/>
        <w:jc w:val="left"/>
        <w:rPr>
          <w:rFonts w:hint="eastAsia" w:ascii="宋体" w:hAnsi="宋体" w:eastAsia="宋体" w:cs="宋体"/>
          <w:b/>
          <w:sz w:val="24"/>
          <w:szCs w:val="24"/>
          <w:highlight w:val="none"/>
        </w:rPr>
      </w:pPr>
      <w:bookmarkStart w:id="15" w:name="_Toc14200_WPSOffice_Level3"/>
      <w:bookmarkStart w:id="16" w:name="_Toc332809340"/>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.成立</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小组</w:t>
      </w:r>
      <w:bookmarkEnd w:id="15"/>
      <w:bookmarkEnd w:id="16"/>
    </w:p>
    <w:p>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小组由采购人代表</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评审专家共三人以上单数组成</w:t>
      </w:r>
      <w:r>
        <w:rPr>
          <w:rFonts w:hint="eastAsia" w:ascii="宋体" w:hAnsi="宋体" w:eastAsia="宋体" w:cs="宋体"/>
          <w:sz w:val="24"/>
          <w:szCs w:val="24"/>
          <w:highlight w:val="none"/>
          <w:lang w:eastAsia="zh-CN"/>
        </w:rPr>
        <w:t>。</w:t>
      </w: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jc w:val="left"/>
        <w:rPr>
          <w:rFonts w:hint="eastAsia" w:ascii="宋体" w:hAnsi="宋体" w:eastAsia="宋体" w:cs="宋体"/>
          <w:b/>
          <w:sz w:val="28"/>
          <w:szCs w:val="28"/>
          <w:highlight w:val="none"/>
        </w:rPr>
      </w:pPr>
      <w:bookmarkStart w:id="17" w:name="_Toc332809341"/>
      <w:bookmarkStart w:id="18" w:name="_Toc27393_WPSOffice_Level2"/>
      <w:r>
        <w:rPr>
          <w:rFonts w:hint="eastAsia" w:ascii="宋体" w:hAnsi="宋体" w:eastAsia="宋体" w:cs="宋体"/>
          <w:b/>
          <w:sz w:val="28"/>
          <w:szCs w:val="28"/>
          <w:highlight w:val="none"/>
        </w:rPr>
        <w:t xml:space="preserve">三 </w:t>
      </w:r>
      <w:r>
        <w:rPr>
          <w:rFonts w:hint="eastAsia" w:ascii="宋体" w:hAnsi="宋体" w:eastAsia="宋体" w:cs="宋体"/>
          <w:b/>
          <w:sz w:val="28"/>
          <w:szCs w:val="28"/>
          <w:highlight w:val="none"/>
          <w:lang w:eastAsia="zh-CN"/>
        </w:rPr>
        <w:t>比选</w:t>
      </w:r>
      <w:r>
        <w:rPr>
          <w:rFonts w:hint="eastAsia" w:ascii="宋体" w:hAnsi="宋体" w:eastAsia="宋体" w:cs="宋体"/>
          <w:b/>
          <w:sz w:val="28"/>
          <w:szCs w:val="28"/>
          <w:highlight w:val="none"/>
        </w:rPr>
        <w:t>文件</w:t>
      </w:r>
      <w:bookmarkEnd w:id="17"/>
      <w:bookmarkEnd w:id="18"/>
    </w:p>
    <w:p>
      <w:pPr>
        <w:spacing w:line="360" w:lineRule="auto"/>
        <w:jc w:val="left"/>
        <w:rPr>
          <w:rFonts w:hint="eastAsia" w:ascii="宋体" w:hAnsi="宋体" w:eastAsia="宋体" w:cs="宋体"/>
          <w:b/>
          <w:sz w:val="24"/>
          <w:szCs w:val="24"/>
          <w:highlight w:val="none"/>
        </w:rPr>
      </w:pPr>
      <w:bookmarkStart w:id="19" w:name="_Toc520356147"/>
      <w:bookmarkStart w:id="20" w:name="_Toc109542338"/>
      <w:bookmarkStart w:id="21" w:name="_Toc27638_WPSOffice_Level3"/>
      <w:bookmarkStart w:id="22" w:name="_Toc332809342"/>
      <w:bookmarkStart w:id="23" w:name="_Toc109543158"/>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文件构成</w:t>
      </w:r>
      <w:bookmarkEnd w:id="19"/>
      <w:bookmarkEnd w:id="20"/>
      <w:bookmarkEnd w:id="21"/>
      <w:bookmarkEnd w:id="22"/>
      <w:bookmarkEnd w:id="23"/>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应当认真阅读</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文件所有的事项、格式、条款和技术规范等。供应商应当按照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文件的要求编制响应文件。响应文件应当对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文件提出的实质性要求和条件做出响应。</w:t>
      </w:r>
    </w:p>
    <w:p>
      <w:pPr>
        <w:spacing w:line="360" w:lineRule="auto"/>
        <w:jc w:val="left"/>
        <w:rPr>
          <w:rFonts w:hint="eastAsia" w:ascii="宋体" w:hAnsi="宋体" w:eastAsia="宋体" w:cs="宋体"/>
          <w:b/>
          <w:sz w:val="24"/>
          <w:szCs w:val="24"/>
          <w:highlight w:val="none"/>
        </w:rPr>
      </w:pPr>
      <w:bookmarkStart w:id="24" w:name="_Toc17142_WPSOffice_Level3"/>
      <w:bookmarkStart w:id="25" w:name="_Toc332809343"/>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文件的澄清或者修改</w:t>
      </w:r>
      <w:bookmarkEnd w:id="24"/>
      <w:bookmarkEnd w:id="25"/>
    </w:p>
    <w:p>
      <w:pPr>
        <w:spacing w:line="360" w:lineRule="auto"/>
        <w:jc w:val="left"/>
        <w:rPr>
          <w:rFonts w:hint="eastAsia" w:ascii="宋体" w:hAnsi="宋体" w:eastAsia="宋体" w:cs="宋体"/>
          <w:highlight w:val="none"/>
        </w:rPr>
      </w:pPr>
      <w:bookmarkStart w:id="26" w:name="_Toc109543160"/>
      <w:bookmarkStart w:id="27" w:name="_Ref467378678"/>
      <w:bookmarkStart w:id="28" w:name="_Toc520356149"/>
      <w:bookmarkStart w:id="29" w:name="_Toc109542340"/>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.1提交首次响应文件截止之日前，采购人可以对已发出的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文件进行必要的澄清或者修改，澄清或者修改的内容作为</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文件的组成部分。采购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将澄清或者修改的内容根据潜在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提供的联系方式书面通知潜在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收到通知后应立即书面回复确认。因潜在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提供的联系方式有误导致采购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无法进行书面通知的，由潜在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承担后果。</w:t>
      </w:r>
    </w:p>
    <w:bookmarkEnd w:id="26"/>
    <w:bookmarkEnd w:id="27"/>
    <w:bookmarkEnd w:id="28"/>
    <w:bookmarkEnd w:id="29"/>
    <w:p>
      <w:pPr>
        <w:spacing w:line="360" w:lineRule="auto"/>
        <w:jc w:val="left"/>
        <w:rPr>
          <w:rFonts w:hint="eastAsia" w:ascii="宋体" w:hAnsi="宋体" w:eastAsia="宋体" w:cs="宋体"/>
          <w:b/>
          <w:sz w:val="28"/>
          <w:szCs w:val="28"/>
          <w:highlight w:val="none"/>
        </w:rPr>
      </w:pPr>
      <w:bookmarkStart w:id="30" w:name="_Toc332809345"/>
      <w:bookmarkStart w:id="31" w:name="_Toc15758_WPSOffice_Level2"/>
    </w:p>
    <w:p>
      <w:pPr>
        <w:spacing w:line="360" w:lineRule="auto"/>
        <w:jc w:val="left"/>
        <w:rPr>
          <w:rFonts w:hint="eastAsia" w:ascii="宋体" w:hAnsi="宋体" w:eastAsia="宋体" w:cs="宋体"/>
          <w:highlight w:val="none"/>
        </w:rPr>
      </w:pPr>
      <w:r>
        <w:rPr>
          <w:rFonts w:hint="eastAsia" w:ascii="宋体" w:hAnsi="宋体" w:eastAsia="宋体" w:cs="宋体"/>
          <w:b/>
          <w:sz w:val="28"/>
          <w:szCs w:val="28"/>
          <w:highlight w:val="none"/>
        </w:rPr>
        <w:t>四 响应文件的编制</w:t>
      </w:r>
      <w:bookmarkEnd w:id="30"/>
      <w:bookmarkEnd w:id="31"/>
    </w:p>
    <w:p>
      <w:pPr>
        <w:spacing w:line="360" w:lineRule="auto"/>
        <w:jc w:val="left"/>
        <w:rPr>
          <w:rFonts w:hint="eastAsia" w:ascii="宋体" w:hAnsi="宋体" w:eastAsia="宋体" w:cs="宋体"/>
          <w:b/>
          <w:sz w:val="24"/>
          <w:szCs w:val="24"/>
          <w:highlight w:val="none"/>
        </w:rPr>
      </w:pPr>
      <w:bookmarkStart w:id="32" w:name="_Toc12530_WPSOffice_Level3"/>
      <w:bookmarkStart w:id="33" w:name="_Toc332809347"/>
      <w:r>
        <w:rPr>
          <w:rFonts w:hint="eastAsia" w:ascii="宋体" w:hAnsi="宋体" w:eastAsia="宋体" w:cs="宋体"/>
          <w:b/>
          <w:sz w:val="24"/>
          <w:szCs w:val="24"/>
          <w:highlight w:val="none"/>
        </w:rPr>
        <w:t>1.响应文件的构成</w:t>
      </w:r>
      <w:bookmarkEnd w:id="32"/>
      <w:bookmarkEnd w:id="33"/>
    </w:p>
    <w:p>
      <w:pPr>
        <w:tabs>
          <w:tab w:val="left" w:pos="90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应当完整地按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文件提供的文件格式填写响应文件，响应文件应当包括以下内容：</w:t>
      </w:r>
    </w:p>
    <w:p>
      <w:pPr>
        <w:spacing w:line="360" w:lineRule="auto"/>
        <w:jc w:val="left"/>
        <w:rPr>
          <w:rFonts w:hint="eastAsia" w:ascii="宋体" w:hAnsi="宋体" w:eastAsia="宋体" w:cs="宋体"/>
          <w:sz w:val="24"/>
          <w:szCs w:val="24"/>
          <w:highlight w:val="none"/>
        </w:rPr>
      </w:pPr>
      <w:bookmarkStart w:id="34" w:name="_Hlk520123503"/>
      <w:r>
        <w:rPr>
          <w:rFonts w:hint="eastAsia" w:ascii="宋体" w:hAnsi="宋体" w:eastAsia="宋体" w:cs="宋体"/>
          <w:sz w:val="24"/>
          <w:szCs w:val="24"/>
          <w:highlight w:val="none"/>
        </w:rPr>
        <w:t>附件1——响应书（格式）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附件2——报价一览表（格式）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附件3——分项报价说明表（格式）</w:t>
      </w:r>
    </w:p>
    <w:p>
      <w:pPr>
        <w:spacing w:line="360" w:lineRule="auto"/>
        <w:jc w:val="left"/>
        <w:rPr>
          <w:rFonts w:hint="eastAsia" w:ascii="宋体" w:hAnsi="宋体" w:eastAsia="宋体" w:cs="宋体"/>
          <w:sz w:val="24"/>
          <w:highlight w:val="none"/>
        </w:rPr>
      </w:pPr>
      <w:r>
        <w:rPr>
          <w:rFonts w:hint="eastAsia" w:ascii="宋体" w:hAnsi="宋体" w:eastAsia="宋体" w:cs="宋体"/>
          <w:sz w:val="24"/>
          <w:szCs w:val="24"/>
          <w:highlight w:val="none"/>
        </w:rPr>
        <w:t>附件4——</w:t>
      </w:r>
      <w:r>
        <w:rPr>
          <w:rFonts w:hint="eastAsia" w:ascii="宋体" w:hAnsi="宋体" w:eastAsia="宋体" w:cs="宋体"/>
          <w:sz w:val="24"/>
          <w:highlight w:val="none"/>
          <w:lang w:val="en-US" w:eastAsia="zh-CN"/>
        </w:rPr>
        <w:t>技术规格</w:t>
      </w:r>
      <w:r>
        <w:rPr>
          <w:rFonts w:hint="eastAsia" w:ascii="宋体" w:hAnsi="宋体" w:eastAsia="宋体" w:cs="宋体"/>
          <w:sz w:val="24"/>
          <w:highlight w:val="none"/>
        </w:rPr>
        <w:t>偏离表（格式）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附件5——商务条款偏离表（格式）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附件6——资格证明文件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法人营业执照副本</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法定代表人的授权委托书（格式）</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供应商财务状况证明文件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社会保障资金缴纳记录证明文件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依法缴纳税收记录证明文件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参加本次采购活动前三年内，在经营活动中没有违法记录的书面声明</w:t>
      </w:r>
    </w:p>
    <w:p>
      <w:pPr>
        <w:tabs>
          <w:tab w:val="left" w:pos="5580"/>
        </w:tabs>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文件要求的其他资格证明文件</w:t>
      </w:r>
    </w:p>
    <w:p>
      <w:pPr>
        <w:spacing w:line="360" w:lineRule="auto"/>
        <w:jc w:val="left"/>
        <w:rPr>
          <w:rFonts w:hint="eastAsia" w:ascii="宋体" w:hAnsi="宋体" w:eastAsia="宋体" w:cs="宋体"/>
          <w:sz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——业绩案例一览表</w:t>
      </w:r>
    </w:p>
    <w:p>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val="en-US" w:eastAsia="zh-CN"/>
        </w:rPr>
        <w:t>8服务方案等</w:t>
      </w:r>
      <w:r>
        <w:rPr>
          <w:rFonts w:hint="eastAsia" w:ascii="宋体" w:hAnsi="宋体" w:eastAsia="宋体" w:cs="宋体"/>
          <w:sz w:val="24"/>
          <w:szCs w:val="24"/>
          <w:highlight w:val="none"/>
        </w:rPr>
        <w:t>其他资料</w:t>
      </w:r>
      <w:bookmarkEnd w:id="34"/>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参选人</w:t>
      </w:r>
      <w:r>
        <w:rPr>
          <w:rFonts w:hint="eastAsia" w:ascii="宋体" w:hAnsi="宋体" w:eastAsia="宋体" w:cs="宋体"/>
          <w:sz w:val="24"/>
          <w:highlight w:val="none"/>
        </w:rPr>
        <w:t>响应内容</w:t>
      </w:r>
      <w:r>
        <w:rPr>
          <w:rFonts w:hint="eastAsia" w:ascii="宋体" w:hAnsi="宋体" w:eastAsia="宋体" w:cs="宋体"/>
          <w:sz w:val="24"/>
          <w:szCs w:val="24"/>
          <w:highlight w:val="none"/>
        </w:rPr>
        <w:t>的资格证明文件均应当为合法、有效文件，否则将被视为该文件未递交。</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1.3上述文件应当按照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文件规定的格式填写、签署和盖章。</w:t>
      </w:r>
    </w:p>
    <w:p>
      <w:pPr>
        <w:spacing w:line="360" w:lineRule="auto"/>
        <w:jc w:val="left"/>
        <w:rPr>
          <w:rFonts w:hint="eastAsia" w:ascii="宋体" w:hAnsi="宋体" w:eastAsia="宋体" w:cs="宋体"/>
          <w:b/>
          <w:sz w:val="24"/>
          <w:szCs w:val="24"/>
          <w:highlight w:val="none"/>
        </w:rPr>
      </w:pPr>
      <w:bookmarkStart w:id="35" w:name="_Toc11742_WPSOffice_Level3"/>
      <w:bookmarkStart w:id="36" w:name="_Toc332809349"/>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报价</w:t>
      </w:r>
      <w:bookmarkEnd w:id="35"/>
      <w:bookmarkEnd w:id="36"/>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2.1所有均以人民币报价。</w:t>
      </w:r>
      <w:r>
        <w:rPr>
          <w:rFonts w:hint="eastAsia" w:ascii="宋体" w:hAnsi="宋体" w:eastAsia="宋体" w:cs="宋体"/>
          <w:sz w:val="24"/>
          <w:szCs w:val="24"/>
          <w:highlight w:val="none"/>
          <w:lang w:eastAsia="zh-CN"/>
        </w:rPr>
        <w:t>参训人</w:t>
      </w:r>
      <w:r>
        <w:rPr>
          <w:rFonts w:hint="eastAsia" w:ascii="宋体" w:hAnsi="宋体" w:eastAsia="宋体" w:cs="宋体"/>
          <w:sz w:val="24"/>
          <w:szCs w:val="24"/>
          <w:highlight w:val="none"/>
        </w:rPr>
        <w:t>的报价应当遵守《中华人民共和国价格法》。同时，为保证公平竞争，如有</w:t>
      </w:r>
      <w:r>
        <w:rPr>
          <w:rFonts w:hint="eastAsia" w:ascii="宋体" w:hAnsi="宋体" w:eastAsia="宋体" w:cs="宋体"/>
          <w:sz w:val="24"/>
          <w:highlight w:val="none"/>
        </w:rPr>
        <w:t>服务</w:t>
      </w:r>
      <w:r>
        <w:rPr>
          <w:rFonts w:hint="eastAsia" w:ascii="宋体" w:hAnsi="宋体" w:eastAsia="宋体" w:cs="宋体"/>
          <w:sz w:val="24"/>
          <w:szCs w:val="24"/>
          <w:highlight w:val="none"/>
        </w:rPr>
        <w:t>主体部分的赠与行为，属于</w:t>
      </w:r>
      <w:r>
        <w:rPr>
          <w:rFonts w:hint="eastAsia" w:ascii="宋体" w:hAnsi="宋体" w:eastAsia="宋体" w:cs="宋体"/>
          <w:sz w:val="24"/>
          <w:szCs w:val="24"/>
          <w:highlight w:val="none"/>
          <w:u w:val="single"/>
        </w:rPr>
        <w:t>无效响应</w:t>
      </w:r>
      <w:r>
        <w:rPr>
          <w:rFonts w:hint="eastAsia" w:ascii="宋体" w:hAnsi="宋体" w:eastAsia="宋体" w:cs="宋体"/>
          <w:sz w:val="24"/>
          <w:szCs w:val="24"/>
          <w:highlight w:val="none"/>
        </w:rPr>
        <w:t>情形。</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highlight w:val="none"/>
          <w:lang w:eastAsia="zh-CN"/>
        </w:rPr>
        <w:t>参选人</w:t>
      </w:r>
      <w:r>
        <w:rPr>
          <w:rFonts w:hint="eastAsia" w:ascii="宋体" w:hAnsi="宋体" w:eastAsia="宋体" w:cs="宋体"/>
          <w:sz w:val="24"/>
          <w:szCs w:val="24"/>
          <w:highlight w:val="none"/>
        </w:rPr>
        <w:t>应当在分项报价说明表上标明有关服务的单价（如适用）和总价，并由法定代表人的授权代表签署。</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须根据采购人提出的具体需求，针对每一服务内容，逐一分项报价。</w:t>
      </w:r>
    </w:p>
    <w:p>
      <w:pPr>
        <w:spacing w:line="360" w:lineRule="auto"/>
        <w:jc w:val="left"/>
        <w:rPr>
          <w:rFonts w:hint="eastAsia" w:ascii="宋体" w:hAnsi="宋体" w:eastAsia="宋体" w:cs="宋体"/>
          <w:b/>
          <w:sz w:val="24"/>
          <w:szCs w:val="24"/>
          <w:highlight w:val="none"/>
        </w:rPr>
      </w:pPr>
      <w:bookmarkStart w:id="37" w:name="_Toc332809352"/>
      <w:bookmarkStart w:id="38" w:name="被邀请谈判人的应答文件的签署及规定"/>
      <w:bookmarkStart w:id="39" w:name="_Toc17047_WPSOffice_Level3"/>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.响应文件的签署及规定</w:t>
      </w:r>
      <w:bookmarkEnd w:id="37"/>
      <w:bookmarkEnd w:id="38"/>
      <w:bookmarkEnd w:id="39"/>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应当准备响应文件</w:t>
      </w:r>
      <w:r>
        <w:rPr>
          <w:rFonts w:hint="eastAsia" w:ascii="宋体" w:hAnsi="宋体" w:eastAsia="宋体" w:cs="宋体"/>
          <w:sz w:val="24"/>
          <w:highlight w:val="none"/>
        </w:rPr>
        <w:t>正本</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份和副本</w:t>
      </w:r>
      <w:r>
        <w:rPr>
          <w:rFonts w:hint="eastAsia" w:ascii="宋体" w:hAnsi="宋体" w:eastAsia="宋体" w:cs="宋体"/>
          <w:sz w:val="24"/>
          <w:highlight w:val="none"/>
          <w:u w:val="single"/>
          <w:lang w:val="en-US" w:eastAsia="zh-CN"/>
        </w:rPr>
        <w:t>2</w:t>
      </w:r>
      <w:r>
        <w:rPr>
          <w:rFonts w:hint="eastAsia" w:ascii="宋体" w:hAnsi="宋体" w:eastAsia="宋体" w:cs="宋体"/>
          <w:sz w:val="24"/>
          <w:highlight w:val="none"/>
        </w:rPr>
        <w:t>份</w:t>
      </w:r>
      <w:r>
        <w:rPr>
          <w:rFonts w:hint="eastAsia" w:ascii="宋体" w:hAnsi="宋体" w:eastAsia="宋体" w:cs="宋体"/>
          <w:sz w:val="24"/>
          <w:szCs w:val="24"/>
          <w:highlight w:val="none"/>
        </w:rPr>
        <w:t>，每份响应文件须清楚地标明“正本”或者“副本”。若正本和副本不符，以正本为准。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.2响应文件的正本需打印或者用不褪色墨水书写，并由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的法定代表人授权的代表在响应文件上签字</w:t>
      </w:r>
      <w:r>
        <w:rPr>
          <w:rFonts w:hint="eastAsia" w:ascii="宋体" w:hAnsi="宋体" w:eastAsia="宋体" w:cs="宋体"/>
          <w:sz w:val="24"/>
          <w:szCs w:val="24"/>
          <w:highlight w:val="none"/>
          <w:lang w:eastAsia="zh-CN"/>
        </w:rPr>
        <w:t>，响应文件</w:t>
      </w:r>
      <w:r>
        <w:rPr>
          <w:rFonts w:hint="eastAsia" w:ascii="宋体" w:hAnsi="宋体" w:eastAsia="宋体" w:cs="宋体"/>
          <w:b/>
          <w:bCs/>
          <w:i/>
          <w:iCs/>
          <w:sz w:val="24"/>
          <w:szCs w:val="24"/>
          <w:highlight w:val="none"/>
          <w:u w:val="single"/>
        </w:rPr>
        <w:t>逐页加盖单位印章</w:t>
      </w:r>
      <w:r>
        <w:rPr>
          <w:rFonts w:hint="eastAsia" w:ascii="宋体" w:hAnsi="宋体" w:eastAsia="宋体" w:cs="宋体"/>
          <w:sz w:val="24"/>
          <w:szCs w:val="24"/>
          <w:highlight w:val="none"/>
        </w:rPr>
        <w:t>。授权代表须持有书面的“法定代表人授权委托书”（标准格式附后），并将其附在响应文件中。如果对响应文件进行了修改，则应当由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的法定代表人授权代表在修改的每一页上签字。响应文件的副本可以采用正本的复印件。</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.3任何行间插字、涂改和增删，必须由响应文件法定代表人授权代表签字或者加盖公章后才有效。</w:t>
      </w:r>
    </w:p>
    <w:p>
      <w:pPr>
        <w:spacing w:line="360" w:lineRule="auto"/>
        <w:jc w:val="left"/>
        <w:rPr>
          <w:rFonts w:hint="eastAsia" w:ascii="宋体" w:hAnsi="宋体" w:eastAsia="宋体" w:cs="宋体"/>
          <w:b/>
          <w:sz w:val="28"/>
          <w:szCs w:val="28"/>
          <w:highlight w:val="none"/>
        </w:rPr>
      </w:pPr>
      <w:bookmarkStart w:id="40" w:name="_Toc14200_WPSOffice_Level2"/>
      <w:bookmarkStart w:id="41" w:name="_Toc332809353"/>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五 响应文件的递交</w:t>
      </w:r>
      <w:bookmarkEnd w:id="40"/>
      <w:bookmarkEnd w:id="41"/>
    </w:p>
    <w:p>
      <w:pPr>
        <w:spacing w:line="360" w:lineRule="auto"/>
        <w:jc w:val="left"/>
        <w:rPr>
          <w:rFonts w:hint="eastAsia" w:ascii="宋体" w:hAnsi="宋体" w:eastAsia="宋体" w:cs="宋体"/>
          <w:b/>
          <w:sz w:val="24"/>
          <w:szCs w:val="24"/>
          <w:highlight w:val="none"/>
        </w:rPr>
      </w:pPr>
      <w:bookmarkStart w:id="42" w:name="_Toc332809354"/>
      <w:bookmarkStart w:id="43" w:name="_Toc10507_WPSOffice_Level3"/>
      <w:r>
        <w:rPr>
          <w:rFonts w:hint="eastAsia" w:ascii="宋体" w:hAnsi="宋体" w:eastAsia="宋体" w:cs="宋体"/>
          <w:b/>
          <w:sz w:val="24"/>
          <w:szCs w:val="24"/>
          <w:highlight w:val="none"/>
        </w:rPr>
        <w:t>1.响应文件的密封和标记</w:t>
      </w:r>
      <w:bookmarkEnd w:id="42"/>
      <w:bookmarkEnd w:id="4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1.1响应文件必须胶装并密封递交。对封装材料及样式不作特别规定，但</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应当保证其封装的可靠性，不致因搬运、堆放等原因散开。响应时，</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应当将响应文件正本以密封袋/箱单独密封，所有的副本以密封袋/箱单独密封在一起，或者正、副本密封袋/箱放入一个密封包装箱里。密封袋/箱正面和响应文件封面须标明“正本”“副本”字样。</w:t>
      </w:r>
    </w:p>
    <w:p>
      <w:pPr>
        <w:tabs>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在包装袋/箱的封装处加盖供应商单位公章或由法定代表人授权代表签字。</w:t>
      </w:r>
    </w:p>
    <w:p>
      <w:pPr>
        <w:tabs>
          <w:tab w:val="left" w:pos="630"/>
          <w:tab w:val="left" w:pos="1365"/>
        </w:tabs>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拒收情形：采购人将拒绝接收未按照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文件要求密封的响应文件。</w:t>
      </w:r>
    </w:p>
    <w:p>
      <w:pPr>
        <w:spacing w:line="360" w:lineRule="auto"/>
        <w:jc w:val="left"/>
        <w:rPr>
          <w:rFonts w:hint="eastAsia" w:ascii="宋体" w:hAnsi="宋体" w:eastAsia="宋体" w:cs="宋体"/>
          <w:b/>
          <w:sz w:val="24"/>
          <w:szCs w:val="24"/>
          <w:highlight w:val="none"/>
        </w:rPr>
      </w:pPr>
      <w:bookmarkStart w:id="44" w:name="_Toc332809355"/>
      <w:bookmarkStart w:id="45" w:name="_Toc27137_WPSOffice_Level3"/>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.响应截止期限</w:t>
      </w:r>
      <w:bookmarkEnd w:id="44"/>
      <w:bookmarkEnd w:id="45"/>
    </w:p>
    <w:p>
      <w:pPr>
        <w:tabs>
          <w:tab w:val="left" w:pos="630"/>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的响应文件应当在《邀请函》中规定的截止时间内，将响应文件递交采购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，递交地点应当是《邀请函》中规定的地址。</w:t>
      </w:r>
    </w:p>
    <w:p>
      <w:pPr>
        <w:tabs>
          <w:tab w:val="left" w:pos="630"/>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.2采购人推迟</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时间时，应当以书面(或者传真、电报)的形式，通知所有</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。在这种情况下，</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双方的权利和义务将受到新的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时间的约束。</w:t>
      </w:r>
    </w:p>
    <w:p>
      <w:pPr>
        <w:tabs>
          <w:tab w:val="left" w:pos="630"/>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.3拒收情形：</w:t>
      </w:r>
    </w:p>
    <w:p>
      <w:pPr>
        <w:tabs>
          <w:tab w:val="left" w:pos="630"/>
          <w:tab w:val="left" w:pos="1365"/>
        </w:tabs>
        <w:spacing w:line="360" w:lineRule="auto"/>
        <w:jc w:val="left"/>
        <w:rPr>
          <w:rFonts w:hint="eastAsia" w:ascii="宋体" w:hAnsi="宋体" w:eastAsia="宋体" w:cs="宋体"/>
          <w:highlight w:val="none"/>
          <w:lang w:eastAsia="zh-CN"/>
        </w:rPr>
      </w:pPr>
      <w:r>
        <w:rPr>
          <w:rFonts w:hint="eastAsia" w:ascii="宋体" w:hAnsi="宋体" w:eastAsia="宋体" w:cs="宋体"/>
          <w:sz w:val="24"/>
          <w:szCs w:val="20"/>
          <w:highlight w:val="none"/>
        </w:rPr>
        <w:t>在本须知规定的响应截止时间后逾期送达的任何响应文件将被拒绝接收。</w:t>
      </w:r>
      <w:bookmarkStart w:id="46" w:name="被邀请谈判人的应答文件的修改和撤回"/>
      <w:bookmarkStart w:id="47" w:name="_Toc332809356"/>
      <w:bookmarkStart w:id="48" w:name="_Toc247898389"/>
    </w:p>
    <w:p>
      <w:pPr>
        <w:spacing w:line="360" w:lineRule="auto"/>
        <w:jc w:val="left"/>
        <w:rPr>
          <w:rFonts w:hint="eastAsia" w:ascii="宋体" w:hAnsi="宋体" w:eastAsia="宋体" w:cs="宋体"/>
          <w:b/>
          <w:sz w:val="24"/>
          <w:szCs w:val="24"/>
          <w:highlight w:val="none"/>
        </w:rPr>
      </w:pPr>
      <w:bookmarkStart w:id="49" w:name="_Toc4637_WPSOffice_Level3"/>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响应文件的补充或者修改</w:t>
      </w:r>
      <w:bookmarkEnd w:id="46"/>
      <w:bookmarkEnd w:id="47"/>
      <w:bookmarkEnd w:id="48"/>
      <w:bookmarkEnd w:id="49"/>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在提交响应文件截止时间前，可以对所提交的响应文件进行补充、修改或者撤回，并书面通知采购人。补充、修改的内容作为响应文件的组成部分。补充、修改的内容与响应文件不一致的，以补充、修改的内容为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小组在对响应文件的有效性、完整性和响应程度进行审查时，可以要求</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对响应文件中含义不明确、同类问题表述不一致或者有明显文字和计算错误的内容等做出必要的澄清、说明或者更正。</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的澄清、说明或者更正不得超出响应文件的范围或者改变响应文件的实质性内容。</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小组要求</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澄清、说明或者更正响应文件应当以书面形式做出。</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的澄清、说明或者更正应当由法定代表人或其授权代表签字或者加盖公章。由授权代表签字的，应当附法定代表人授权书。供应商为自然人的，应当由本人签字并附身份证明。</w:t>
      </w:r>
      <w:bookmarkStart w:id="50" w:name="_Toc332809357"/>
    </w:p>
    <w:p>
      <w:pPr>
        <w:spacing w:line="360" w:lineRule="auto"/>
        <w:jc w:val="left"/>
        <w:rPr>
          <w:rFonts w:hint="eastAsia" w:ascii="宋体" w:hAnsi="宋体" w:eastAsia="宋体" w:cs="宋体"/>
          <w:b/>
          <w:sz w:val="28"/>
          <w:szCs w:val="28"/>
          <w:highlight w:val="none"/>
        </w:rPr>
      </w:pPr>
      <w:bookmarkStart w:id="51" w:name="_Toc27638_WPSOffice_Level2"/>
    </w:p>
    <w:p>
      <w:pPr>
        <w:spacing w:line="360" w:lineRule="auto"/>
        <w:jc w:val="left"/>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六 确定参加</w:t>
      </w:r>
      <w:r>
        <w:rPr>
          <w:rFonts w:hint="eastAsia" w:ascii="宋体" w:hAnsi="宋体" w:eastAsia="宋体" w:cs="宋体"/>
          <w:b/>
          <w:sz w:val="28"/>
          <w:szCs w:val="28"/>
          <w:highlight w:val="none"/>
          <w:lang w:eastAsia="zh-CN"/>
        </w:rPr>
        <w:t>比选</w:t>
      </w:r>
      <w:r>
        <w:rPr>
          <w:rFonts w:hint="eastAsia" w:ascii="宋体" w:hAnsi="宋体" w:eastAsia="宋体" w:cs="宋体"/>
          <w:b/>
          <w:sz w:val="28"/>
          <w:szCs w:val="28"/>
          <w:highlight w:val="none"/>
        </w:rPr>
        <w:t>的</w:t>
      </w:r>
      <w:bookmarkEnd w:id="50"/>
      <w:bookmarkEnd w:id="51"/>
      <w:r>
        <w:rPr>
          <w:rFonts w:hint="eastAsia" w:ascii="宋体" w:hAnsi="宋体" w:eastAsia="宋体" w:cs="宋体"/>
          <w:b/>
          <w:sz w:val="28"/>
          <w:szCs w:val="28"/>
          <w:highlight w:val="none"/>
          <w:lang w:eastAsia="zh-CN"/>
        </w:rPr>
        <w:t>参选人</w:t>
      </w:r>
    </w:p>
    <w:p>
      <w:pPr>
        <w:spacing w:line="360" w:lineRule="auto"/>
        <w:jc w:val="left"/>
        <w:rPr>
          <w:rFonts w:hint="eastAsia" w:ascii="宋体" w:hAnsi="宋体" w:eastAsia="宋体" w:cs="宋体"/>
          <w:b/>
          <w:sz w:val="24"/>
          <w:szCs w:val="24"/>
          <w:highlight w:val="none"/>
        </w:rPr>
      </w:pPr>
      <w:bookmarkStart w:id="52" w:name="_Toc16642_WPSOffice_Level3"/>
      <w:bookmarkStart w:id="53" w:name="_Toc332809358"/>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.资格性审查程序</w:t>
      </w:r>
      <w:bookmarkEnd w:id="52"/>
      <w:bookmarkEnd w:id="5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小组将对响应文件进行资格性审查。资格性审查：指依据法律、法规和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文件的规定，对响应文件中的资格证明进行审查，以确定</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是否具备</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资格。</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提供的响应文件应当实质性响应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参选人根据《</w:t>
      </w:r>
      <w:r>
        <w:rPr>
          <w:rFonts w:hint="eastAsia" w:ascii="宋体" w:hAnsi="宋体" w:eastAsia="宋体" w:cs="宋体"/>
          <w:sz w:val="24"/>
          <w:szCs w:val="24"/>
          <w:highlight w:val="none"/>
          <w:lang w:val="en-US" w:eastAsia="zh-CN"/>
        </w:rPr>
        <w:t>3.响应文件的补充或者修改</w:t>
      </w:r>
      <w:r>
        <w:rPr>
          <w:rFonts w:hint="eastAsia" w:ascii="宋体" w:hAnsi="宋体" w:eastAsia="宋体" w:cs="宋体"/>
          <w:sz w:val="24"/>
          <w:szCs w:val="24"/>
          <w:highlight w:val="none"/>
          <w:lang w:eastAsia="zh-CN"/>
        </w:rPr>
        <w:t>》条款</w:t>
      </w:r>
      <w:r>
        <w:rPr>
          <w:rFonts w:hint="eastAsia" w:ascii="宋体" w:hAnsi="宋体" w:eastAsia="宋体" w:cs="宋体"/>
          <w:sz w:val="24"/>
          <w:szCs w:val="24"/>
          <w:highlight w:val="none"/>
        </w:rPr>
        <w:t>提交的资格性文件的补充文件或者修改文件，将作为资格性文件的组成部分，进入资格性审查程序。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.3以下情况均为非实质性响应的响应文件，属于</w:t>
      </w:r>
      <w:r>
        <w:rPr>
          <w:rFonts w:hint="eastAsia" w:ascii="宋体" w:hAnsi="宋体" w:eastAsia="宋体" w:cs="宋体"/>
          <w:sz w:val="24"/>
          <w:szCs w:val="24"/>
          <w:highlight w:val="none"/>
          <w:u w:val="single"/>
        </w:rPr>
        <w:t>无效响应</w:t>
      </w:r>
      <w:r>
        <w:rPr>
          <w:rFonts w:hint="eastAsia" w:ascii="宋体" w:hAnsi="宋体" w:eastAsia="宋体" w:cs="宋体"/>
          <w:sz w:val="24"/>
          <w:szCs w:val="24"/>
          <w:highlight w:val="none"/>
        </w:rPr>
        <w:t>情形。由</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小组予以否决，不能通过修改或者后补而成为实质性响应的文件，不能通过资格性审查程序：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）响应文件未按照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文件要求签署、盖章的；</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）不具备</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文件中规定资格要求的；</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文件中规定的预算金额；</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）响应文件含有采购人不能接受的附加条件的；</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）属于法律、法规和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文件规定的其他无效情形的。</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.4通过</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小组资格性审查程序的供应商将成为确定参加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的供应商，进入评审程序。</w:t>
      </w:r>
      <w:bookmarkStart w:id="54" w:name="_Toc332809359"/>
    </w:p>
    <w:p>
      <w:pPr>
        <w:spacing w:line="360" w:lineRule="auto"/>
        <w:jc w:val="left"/>
        <w:rPr>
          <w:rFonts w:hint="eastAsia" w:ascii="宋体" w:hAnsi="宋体" w:eastAsia="宋体" w:cs="宋体"/>
          <w:b/>
          <w:sz w:val="28"/>
          <w:szCs w:val="28"/>
          <w:highlight w:val="none"/>
        </w:rPr>
      </w:pPr>
      <w:bookmarkStart w:id="55" w:name="_Toc17142_WPSOffice_Level2"/>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七 评审</w:t>
      </w:r>
      <w:bookmarkEnd w:id="54"/>
      <w:bookmarkEnd w:id="55"/>
    </w:p>
    <w:p>
      <w:pPr>
        <w:spacing w:line="360" w:lineRule="auto"/>
        <w:jc w:val="left"/>
        <w:rPr>
          <w:rFonts w:hint="eastAsia" w:ascii="宋体" w:hAnsi="宋体" w:eastAsia="宋体" w:cs="宋体"/>
          <w:b/>
          <w:sz w:val="24"/>
          <w:szCs w:val="24"/>
          <w:highlight w:val="none"/>
        </w:rPr>
      </w:pPr>
      <w:bookmarkStart w:id="56" w:name="_Toc247898391"/>
      <w:bookmarkStart w:id="57" w:name="_Toc332809360"/>
      <w:bookmarkStart w:id="58" w:name="_Toc17940_WPSOffice_Level3"/>
      <w:bookmarkStart w:id="59" w:name="谈判过程"/>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过程</w:t>
      </w:r>
      <w:bookmarkEnd w:id="56"/>
      <w:bookmarkEnd w:id="57"/>
      <w:bookmarkEnd w:id="58"/>
    </w:p>
    <w:bookmarkEnd w:id="59"/>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时间、地点</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依据《邀请函》规定的时间、地点主持评审，由</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小组成员及有关工作人员参加。评审记录由评审小组全体成员签字。</w:t>
      </w:r>
    </w:p>
    <w:p>
      <w:pPr>
        <w:spacing w:line="360" w:lineRule="auto"/>
        <w:jc w:val="left"/>
        <w:rPr>
          <w:rFonts w:hint="eastAsia" w:ascii="宋体" w:hAnsi="宋体" w:eastAsia="宋体" w:cs="宋体"/>
          <w:b/>
          <w:sz w:val="24"/>
          <w:szCs w:val="24"/>
          <w:highlight w:val="none"/>
        </w:rPr>
      </w:pPr>
      <w:bookmarkStart w:id="60" w:name="_Toc11089_WPSOffice_Level3"/>
      <w:bookmarkStart w:id="61" w:name="_Toc332809361"/>
      <w:r>
        <w:rPr>
          <w:rFonts w:hint="eastAsia" w:ascii="宋体" w:hAnsi="宋体" w:eastAsia="宋体" w:cs="宋体"/>
          <w:b/>
          <w:sz w:val="24"/>
          <w:szCs w:val="24"/>
          <w:highlight w:val="none"/>
        </w:rPr>
        <w:t>2</w:t>
      </w:r>
      <w:bookmarkStart w:id="62" w:name="评审"/>
      <w:bookmarkStart w:id="63" w:name="_Toc247898392"/>
      <w:r>
        <w:rPr>
          <w:rFonts w:hint="eastAsia" w:ascii="宋体" w:hAnsi="宋体" w:eastAsia="宋体" w:cs="宋体"/>
          <w:b/>
          <w:sz w:val="24"/>
          <w:szCs w:val="24"/>
          <w:highlight w:val="none"/>
        </w:rPr>
        <w:t>.评审</w:t>
      </w:r>
      <w:bookmarkEnd w:id="60"/>
      <w:bookmarkEnd w:id="61"/>
      <w:bookmarkEnd w:id="62"/>
      <w:bookmarkEnd w:id="6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1.1评审内容</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评审严格按照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的要求和条件进行。考虑报价，同时考虑以下因素：</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（1）经营信誉的情况；</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（2）供应商在类似项目上的业绩情况；</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的售后服务</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及技术支持情况。</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.2评审方法</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采用集体投票方式选取一家作为中选候选人。</w:t>
      </w:r>
    </w:p>
    <w:p>
      <w:pPr>
        <w:spacing w:line="360" w:lineRule="auto"/>
        <w:jc w:val="left"/>
        <w:rPr>
          <w:rFonts w:hint="eastAsia" w:ascii="宋体" w:hAnsi="宋体" w:eastAsia="宋体" w:cs="宋体"/>
          <w:b/>
          <w:sz w:val="28"/>
          <w:szCs w:val="28"/>
          <w:highlight w:val="none"/>
        </w:rPr>
      </w:pPr>
      <w:bookmarkStart w:id="64" w:name="_Toc332809362"/>
      <w:bookmarkStart w:id="65" w:name="_Toc3836_WPSOffice_Level2"/>
    </w:p>
    <w:p>
      <w:pPr>
        <w:spacing w:line="360" w:lineRule="auto"/>
        <w:jc w:val="left"/>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八 确定</w:t>
      </w:r>
      <w:bookmarkEnd w:id="64"/>
      <w:bookmarkEnd w:id="65"/>
      <w:r>
        <w:rPr>
          <w:rFonts w:hint="eastAsia" w:ascii="宋体" w:hAnsi="宋体" w:eastAsia="宋体" w:cs="宋体"/>
          <w:b/>
          <w:sz w:val="28"/>
          <w:szCs w:val="28"/>
          <w:highlight w:val="none"/>
          <w:lang w:val="en-US" w:eastAsia="zh-CN"/>
        </w:rPr>
        <w:t>中选</w:t>
      </w:r>
    </w:p>
    <w:p>
      <w:pPr>
        <w:spacing w:line="360" w:lineRule="auto"/>
        <w:jc w:val="left"/>
        <w:rPr>
          <w:rFonts w:hint="eastAsia" w:ascii="宋体" w:hAnsi="宋体" w:eastAsia="宋体" w:cs="宋体"/>
          <w:b/>
          <w:kern w:val="0"/>
          <w:sz w:val="24"/>
          <w:szCs w:val="24"/>
          <w:highlight w:val="none"/>
        </w:rPr>
      </w:pPr>
      <w:bookmarkStart w:id="66" w:name="_Toc24877_WPSOffice_Level3"/>
      <w:bookmarkStart w:id="67" w:name="_Toc332809363"/>
      <w:r>
        <w:rPr>
          <w:rFonts w:hint="eastAsia" w:ascii="宋体" w:hAnsi="宋体" w:eastAsia="宋体" w:cs="宋体"/>
          <w:b/>
          <w:kern w:val="0"/>
          <w:sz w:val="24"/>
          <w:szCs w:val="24"/>
          <w:highlight w:val="none"/>
          <w:lang w:val="en-US" w:eastAsia="zh-CN"/>
        </w:rPr>
        <w:t>1.中选候选人</w:t>
      </w:r>
      <w:r>
        <w:rPr>
          <w:rFonts w:hint="eastAsia" w:ascii="宋体" w:hAnsi="宋体" w:eastAsia="宋体" w:cs="宋体"/>
          <w:b/>
          <w:kern w:val="0"/>
          <w:sz w:val="24"/>
          <w:szCs w:val="24"/>
          <w:highlight w:val="none"/>
        </w:rPr>
        <w:t>的确定标准</w:t>
      </w:r>
      <w:bookmarkEnd w:id="66"/>
      <w:bookmarkEnd w:id="67"/>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的响应文件应当实质上响应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小组根据上述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1.2评审方法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款规定的评审方法确定</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供应商。</w:t>
      </w:r>
    </w:p>
    <w:p>
      <w:pPr>
        <w:spacing w:line="360" w:lineRule="auto"/>
        <w:jc w:val="left"/>
        <w:rPr>
          <w:rFonts w:hint="eastAsia" w:ascii="宋体" w:hAnsi="宋体" w:eastAsia="宋体" w:cs="宋体"/>
          <w:b/>
          <w:kern w:val="0"/>
          <w:sz w:val="24"/>
          <w:szCs w:val="24"/>
          <w:highlight w:val="none"/>
        </w:rPr>
      </w:pPr>
      <w:bookmarkStart w:id="68" w:name="_Toc332809364"/>
      <w:bookmarkStart w:id="69" w:name="_Toc1549_WPSOffice_Level3"/>
      <w:r>
        <w:rPr>
          <w:rFonts w:hint="eastAsia" w:ascii="宋体" w:hAnsi="宋体" w:eastAsia="宋体" w:cs="宋体"/>
          <w:b/>
          <w:kern w:val="0"/>
          <w:sz w:val="24"/>
          <w:szCs w:val="24"/>
          <w:highlight w:val="none"/>
        </w:rPr>
        <w:t>2.确定</w:t>
      </w:r>
      <w:bookmarkEnd w:id="68"/>
      <w:bookmarkEnd w:id="69"/>
      <w:r>
        <w:rPr>
          <w:rFonts w:hint="eastAsia" w:ascii="宋体" w:hAnsi="宋体" w:eastAsia="宋体" w:cs="宋体"/>
          <w:b/>
          <w:kern w:val="0"/>
          <w:sz w:val="24"/>
          <w:szCs w:val="24"/>
          <w:highlight w:val="none"/>
          <w:lang w:val="en-US" w:eastAsia="zh-CN"/>
        </w:rPr>
        <w:t>中选</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小组将根据评审办法推荐</w:t>
      </w:r>
      <w:r>
        <w:rPr>
          <w:rFonts w:hint="eastAsia" w:ascii="宋体" w:hAnsi="宋体" w:eastAsia="宋体" w:cs="宋体"/>
          <w:sz w:val="24"/>
          <w:szCs w:val="24"/>
          <w:highlight w:val="none"/>
          <w:lang w:val="en-US" w:eastAsia="zh-CN"/>
        </w:rPr>
        <w:t>中选候选人</w:t>
      </w:r>
      <w:r>
        <w:rPr>
          <w:rFonts w:hint="eastAsia" w:ascii="宋体" w:hAnsi="宋体" w:eastAsia="宋体" w:cs="宋体"/>
          <w:sz w:val="24"/>
          <w:szCs w:val="24"/>
          <w:highlight w:val="none"/>
        </w:rPr>
        <w:t>名单。</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2.2采购人当在收到评审报告后五个工作日内，按照评审报告中推荐的</w:t>
      </w:r>
      <w:r>
        <w:rPr>
          <w:rFonts w:hint="eastAsia" w:ascii="宋体" w:hAnsi="宋体" w:eastAsia="宋体" w:cs="宋体"/>
          <w:sz w:val="24"/>
          <w:szCs w:val="24"/>
          <w:highlight w:val="none"/>
          <w:lang w:val="en-US" w:eastAsia="zh-CN"/>
        </w:rPr>
        <w:t>中选候选人</w:t>
      </w:r>
      <w:r>
        <w:rPr>
          <w:rFonts w:hint="eastAsia" w:ascii="宋体" w:hAnsi="宋体" w:eastAsia="宋体" w:cs="宋体"/>
          <w:sz w:val="24"/>
          <w:szCs w:val="24"/>
          <w:highlight w:val="none"/>
        </w:rPr>
        <w:t>顺序确定</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拒绝与采购人签订合同的，采购人可以与排位在</w:t>
      </w:r>
      <w:bookmarkStart w:id="70" w:name="_Toc520356172"/>
      <w:r>
        <w:rPr>
          <w:rFonts w:hint="eastAsia" w:ascii="宋体" w:hAnsi="宋体" w:eastAsia="宋体" w:cs="宋体"/>
          <w:sz w:val="24"/>
          <w:szCs w:val="24"/>
          <w:highlight w:val="none"/>
          <w:lang w:eastAsia="zh-CN"/>
        </w:rPr>
        <w:t>中选人</w:t>
      </w:r>
      <w:r>
        <w:rPr>
          <w:rFonts w:hint="eastAsia" w:ascii="宋体" w:hAnsi="宋体" w:eastAsia="宋体" w:cs="宋体"/>
          <w:sz w:val="24"/>
          <w:szCs w:val="24"/>
          <w:highlight w:val="none"/>
        </w:rPr>
        <w:t>之后的第一位的</w:t>
      </w:r>
      <w:r>
        <w:rPr>
          <w:rFonts w:hint="eastAsia" w:ascii="宋体" w:hAnsi="宋体" w:eastAsia="宋体" w:cs="宋体"/>
          <w:sz w:val="24"/>
          <w:szCs w:val="24"/>
          <w:highlight w:val="none"/>
          <w:lang w:val="en-US" w:eastAsia="zh-CN"/>
        </w:rPr>
        <w:t>中选候选人</w:t>
      </w:r>
      <w:r>
        <w:rPr>
          <w:rFonts w:hint="eastAsia" w:ascii="宋体" w:hAnsi="宋体" w:eastAsia="宋体" w:cs="宋体"/>
          <w:sz w:val="24"/>
          <w:szCs w:val="24"/>
          <w:highlight w:val="none"/>
        </w:rPr>
        <w:t>签订采购合同。</w:t>
      </w:r>
    </w:p>
    <w:bookmarkEnd w:id="70"/>
    <w:p>
      <w:pPr>
        <w:spacing w:line="360" w:lineRule="auto"/>
        <w:jc w:val="left"/>
        <w:rPr>
          <w:rFonts w:hint="eastAsia" w:ascii="宋体" w:hAnsi="宋体" w:eastAsia="宋体" w:cs="宋体"/>
          <w:b/>
          <w:kern w:val="0"/>
          <w:sz w:val="24"/>
          <w:szCs w:val="24"/>
          <w:highlight w:val="none"/>
        </w:rPr>
      </w:pPr>
      <w:bookmarkStart w:id="71" w:name="_Toc332809365"/>
      <w:bookmarkStart w:id="72" w:name="_Toc7810_WPSOffice_Level3"/>
      <w:r>
        <w:rPr>
          <w:rFonts w:hint="eastAsia" w:ascii="宋体" w:hAnsi="宋体" w:eastAsia="宋体" w:cs="宋体"/>
          <w:b/>
          <w:kern w:val="0"/>
          <w:sz w:val="24"/>
          <w:szCs w:val="24"/>
          <w:highlight w:val="none"/>
          <w:lang w:val="en-US" w:eastAsia="zh-CN"/>
        </w:rPr>
        <w:t>3</w:t>
      </w:r>
      <w:r>
        <w:rPr>
          <w:rFonts w:hint="eastAsia" w:ascii="宋体" w:hAnsi="宋体" w:eastAsia="宋体" w:cs="宋体"/>
          <w:b/>
          <w:kern w:val="0"/>
          <w:sz w:val="24"/>
          <w:szCs w:val="24"/>
          <w:highlight w:val="none"/>
        </w:rPr>
        <w:t>.</w:t>
      </w:r>
      <w:bookmarkStart w:id="73" w:name="谈判及评审过程保密"/>
      <w:r>
        <w:rPr>
          <w:rFonts w:hint="eastAsia" w:ascii="宋体" w:hAnsi="宋体" w:eastAsia="宋体" w:cs="宋体"/>
          <w:b/>
          <w:kern w:val="0"/>
          <w:sz w:val="24"/>
          <w:szCs w:val="24"/>
          <w:highlight w:val="none"/>
          <w:lang w:eastAsia="zh-CN"/>
        </w:rPr>
        <w:t>比选</w:t>
      </w:r>
      <w:r>
        <w:rPr>
          <w:rFonts w:hint="eastAsia" w:ascii="宋体" w:hAnsi="宋体" w:eastAsia="宋体" w:cs="宋体"/>
          <w:b/>
          <w:kern w:val="0"/>
          <w:sz w:val="24"/>
          <w:szCs w:val="24"/>
          <w:highlight w:val="none"/>
        </w:rPr>
        <w:t>及评审过程保密</w:t>
      </w:r>
      <w:bookmarkEnd w:id="71"/>
      <w:bookmarkEnd w:id="72"/>
      <w:bookmarkEnd w:id="7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开始到确定</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时止，凡是属于审查、澄清、评价和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的有关资料，采购人、</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小组及有关工作人员均不得向无关的人员透露。</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及评审期间，</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企图影响采购人的任何活动，将导致</w:t>
      </w:r>
      <w:r>
        <w:rPr>
          <w:rFonts w:hint="eastAsia" w:ascii="宋体" w:hAnsi="宋体" w:eastAsia="宋体" w:cs="宋体"/>
          <w:sz w:val="24"/>
          <w:szCs w:val="24"/>
          <w:highlight w:val="none"/>
          <w:u w:val="single"/>
          <w:lang w:eastAsia="zh-CN"/>
        </w:rPr>
        <w:t>比选</w:t>
      </w:r>
      <w:r>
        <w:rPr>
          <w:rFonts w:hint="eastAsia" w:ascii="宋体" w:hAnsi="宋体" w:eastAsia="宋体" w:cs="宋体"/>
          <w:sz w:val="24"/>
          <w:szCs w:val="24"/>
          <w:highlight w:val="none"/>
          <w:u w:val="single"/>
        </w:rPr>
        <w:t>无效</w:t>
      </w:r>
      <w:r>
        <w:rPr>
          <w:rFonts w:hint="eastAsia" w:ascii="宋体" w:hAnsi="宋体" w:eastAsia="宋体" w:cs="宋体"/>
          <w:sz w:val="24"/>
          <w:szCs w:val="24"/>
          <w:highlight w:val="none"/>
        </w:rPr>
        <w:t>，并承担相应的法律责任。</w:t>
      </w:r>
    </w:p>
    <w:p>
      <w:pPr>
        <w:spacing w:line="360" w:lineRule="auto"/>
        <w:jc w:val="left"/>
        <w:rPr>
          <w:rFonts w:hint="eastAsia" w:ascii="宋体" w:hAnsi="宋体" w:eastAsia="宋体" w:cs="宋体"/>
          <w:b/>
          <w:sz w:val="24"/>
          <w:szCs w:val="24"/>
          <w:highlight w:val="none"/>
        </w:rPr>
      </w:pPr>
      <w:bookmarkStart w:id="74" w:name="_Toc332809366"/>
      <w:bookmarkStart w:id="75" w:name="_Toc28823_WPSOffice_Level3"/>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.结果通知</w:t>
      </w:r>
      <w:bookmarkEnd w:id="74"/>
      <w:bookmarkEnd w:id="75"/>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将在</w:t>
      </w:r>
      <w:r>
        <w:rPr>
          <w:rFonts w:hint="eastAsia" w:ascii="宋体" w:hAnsi="宋体" w:eastAsia="宋体" w:cs="宋体"/>
          <w:sz w:val="24"/>
          <w:szCs w:val="24"/>
          <w:highlight w:val="none"/>
          <w:lang w:val="en-US" w:eastAsia="zh-CN"/>
        </w:rPr>
        <w:t>中选人</w:t>
      </w:r>
      <w:r>
        <w:rPr>
          <w:rFonts w:hint="eastAsia" w:ascii="宋体" w:hAnsi="宋体" w:eastAsia="宋体" w:cs="宋体"/>
          <w:sz w:val="24"/>
          <w:szCs w:val="24"/>
          <w:highlight w:val="none"/>
        </w:rPr>
        <w:t>确定之日起2个工作日内布</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公告。</w:t>
      </w:r>
    </w:p>
    <w:p>
      <w:pPr>
        <w:spacing w:line="360" w:lineRule="auto"/>
        <w:jc w:val="left"/>
        <w:rPr>
          <w:rFonts w:hint="eastAsia" w:ascii="宋体" w:hAnsi="宋体" w:eastAsia="宋体" w:cs="宋体"/>
          <w:b/>
          <w:kern w:val="0"/>
          <w:sz w:val="24"/>
          <w:szCs w:val="24"/>
          <w:highlight w:val="none"/>
        </w:rPr>
      </w:pPr>
      <w:bookmarkStart w:id="76" w:name="_Toc247898399"/>
      <w:bookmarkStart w:id="77" w:name="_Toc21998_WPSOffice_Level3"/>
      <w:bookmarkStart w:id="78" w:name="_Toc332809367"/>
      <w:bookmarkStart w:id="79" w:name="签订合同"/>
      <w:r>
        <w:rPr>
          <w:rFonts w:hint="eastAsia" w:ascii="宋体" w:hAnsi="宋体" w:eastAsia="宋体" w:cs="宋体"/>
          <w:b/>
          <w:kern w:val="0"/>
          <w:sz w:val="24"/>
          <w:szCs w:val="24"/>
          <w:highlight w:val="none"/>
          <w:lang w:val="en-US" w:eastAsia="zh-CN"/>
        </w:rPr>
        <w:t>5</w:t>
      </w:r>
      <w:r>
        <w:rPr>
          <w:rFonts w:hint="eastAsia" w:ascii="宋体" w:hAnsi="宋体" w:eastAsia="宋体" w:cs="宋体"/>
          <w:b/>
          <w:kern w:val="0"/>
          <w:sz w:val="24"/>
          <w:szCs w:val="24"/>
          <w:highlight w:val="none"/>
        </w:rPr>
        <w:t>.签订合同</w:t>
      </w:r>
      <w:bookmarkEnd w:id="76"/>
      <w:bookmarkEnd w:id="77"/>
      <w:bookmarkEnd w:id="78"/>
      <w:bookmarkEnd w:id="79"/>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中选人</w:t>
      </w:r>
      <w:r>
        <w:rPr>
          <w:rFonts w:hint="eastAsia" w:ascii="宋体" w:hAnsi="宋体" w:eastAsia="宋体" w:cs="宋体"/>
          <w:sz w:val="24"/>
          <w:szCs w:val="24"/>
          <w:highlight w:val="none"/>
        </w:rPr>
        <w:t>应当自《</w:t>
      </w:r>
      <w:r>
        <w:rPr>
          <w:rFonts w:hint="eastAsia" w:ascii="宋体" w:hAnsi="宋体" w:eastAsia="宋体" w:cs="宋体"/>
          <w:sz w:val="24"/>
          <w:szCs w:val="24"/>
          <w:highlight w:val="none"/>
          <w:lang w:val="en-US" w:eastAsia="zh-CN"/>
        </w:rPr>
        <w:t>中选公告</w:t>
      </w:r>
      <w:r>
        <w:rPr>
          <w:rFonts w:hint="eastAsia" w:ascii="宋体" w:hAnsi="宋体" w:eastAsia="宋体" w:cs="宋体"/>
          <w:sz w:val="24"/>
          <w:szCs w:val="24"/>
          <w:highlight w:val="none"/>
        </w:rPr>
        <w:t>》发出之日起30日内，与采购人签订合同，否则按放弃</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结果处理。</w:t>
      </w:r>
      <w:bookmarkStart w:id="80" w:name="_Toc109542366"/>
      <w:bookmarkStart w:id="81" w:name="_Toc109543186"/>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p>
    <w:bookmarkEnd w:id="80"/>
    <w:bookmarkEnd w:id="81"/>
    <w:p>
      <w:pPr>
        <w:pStyle w:val="2"/>
        <w:numPr>
          <w:ilvl w:val="0"/>
          <w:numId w:val="0"/>
        </w:numPr>
        <w:spacing w:line="360" w:lineRule="auto"/>
        <w:jc w:val="center"/>
        <w:rPr>
          <w:rFonts w:hint="eastAsia" w:ascii="宋体" w:hAnsi="宋体" w:eastAsia="宋体" w:cs="宋体"/>
          <w:highlight w:val="none"/>
        </w:rPr>
      </w:pPr>
      <w:bookmarkStart w:id="82" w:name="_Toc63415102"/>
      <w:bookmarkStart w:id="83" w:name="_Toc12402"/>
      <w:bookmarkStart w:id="84" w:name="_Toc5305"/>
      <w:bookmarkStart w:id="85" w:name="_Toc9062_WPSOffice_Level1"/>
      <w:r>
        <w:rPr>
          <w:rFonts w:hint="eastAsia" w:ascii="宋体" w:hAnsi="宋体" w:eastAsia="宋体" w:cs="宋体"/>
          <w:highlight w:val="none"/>
          <w:lang w:val="en-US" w:eastAsia="zh-CN"/>
        </w:rPr>
        <w:t xml:space="preserve">第二章 </w:t>
      </w:r>
      <w:r>
        <w:rPr>
          <w:rFonts w:hint="eastAsia" w:ascii="宋体" w:hAnsi="宋体" w:eastAsia="宋体" w:cs="宋体"/>
          <w:highlight w:val="none"/>
        </w:rPr>
        <w:t>拟签订合同文本</w:t>
      </w:r>
      <w:bookmarkEnd w:id="82"/>
      <w:bookmarkEnd w:id="83"/>
      <w:bookmarkEnd w:id="84"/>
      <w:bookmarkEnd w:id="85"/>
    </w:p>
    <w:p>
      <w:pPr>
        <w:spacing w:line="360" w:lineRule="auto"/>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以最终签订的合同为准</w:t>
      </w:r>
      <w:r>
        <w:rPr>
          <w:rFonts w:hint="eastAsia" w:ascii="宋体" w:hAnsi="宋体" w:eastAsia="宋体" w:cs="宋体"/>
          <w:b/>
          <w:bCs/>
          <w:highlight w:val="none"/>
          <w:lang w:eastAsia="zh-CN"/>
        </w:rPr>
        <w:t>）</w:t>
      </w:r>
    </w:p>
    <w:p>
      <w:pPr>
        <w:rPr>
          <w:rFonts w:ascii="Arial" w:hAnsi="Arial" w:eastAsia="仿宋_GB2312" w:cs="Arial"/>
          <w:sz w:val="24"/>
        </w:rPr>
      </w:pPr>
      <w:r>
        <w:rPr>
          <w:rFonts w:ascii="Arial" w:hAnsi="Arial" w:eastAsia="仿宋_GB2312" w:cs="Arial"/>
          <w:sz w:val="24"/>
        </w:rPr>
        <w:drawing>
          <wp:inline distT="0" distB="0" distL="114300" distR="114300">
            <wp:extent cx="1141730" cy="1143635"/>
            <wp:effectExtent l="0" t="0" r="1270" b="18415"/>
            <wp:docPr id="2" name="图片 1" descr="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圆标"/>
                    <pic:cNvPicPr>
                      <a:picLocks noChangeAspect="1"/>
                    </pic:cNvPicPr>
                  </pic:nvPicPr>
                  <pic:blipFill>
                    <a:blip r:embed="rId13">
                      <a:biLevel thresh="50000"/>
                      <a:grayscl/>
                      <a:lum contrast="72000"/>
                    </a:blip>
                    <a:stretch>
                      <a:fillRect/>
                    </a:stretch>
                  </pic:blipFill>
                  <pic:spPr>
                    <a:xfrm>
                      <a:off x="0" y="0"/>
                      <a:ext cx="1141730" cy="1143635"/>
                    </a:xfrm>
                    <a:prstGeom prst="rect">
                      <a:avLst/>
                    </a:prstGeom>
                    <a:noFill/>
                    <a:ln>
                      <a:noFill/>
                    </a:ln>
                  </pic:spPr>
                </pic:pic>
              </a:graphicData>
            </a:graphic>
          </wp:inline>
        </w:drawing>
      </w:r>
    </w:p>
    <w:p>
      <w:pPr>
        <w:rPr>
          <w:rFonts w:ascii="Arial" w:hAnsi="Arial" w:eastAsia="仿宋_GB2312" w:cs="Arial"/>
          <w:sz w:val="24"/>
        </w:rPr>
      </w:pPr>
    </w:p>
    <w:p>
      <w:pPr>
        <w:rPr>
          <w:rFonts w:ascii="Arial" w:hAnsi="Arial" w:eastAsia="仿宋_GB2312" w:cs="Arial"/>
          <w:sz w:val="24"/>
        </w:rPr>
      </w:pPr>
      <w:r>
        <w:rPr>
          <w:rFonts w:hint="eastAsia" w:ascii="Arial" w:hAnsi="Arial" w:eastAsia="仿宋_GB2312" w:cs="Arial"/>
          <w:sz w:val="24"/>
        </w:rPr>
        <w:t xml:space="preserve">              </w:t>
      </w:r>
      <w:r>
        <w:rPr>
          <w:rFonts w:hint="eastAsia" w:ascii="Arial" w:hAnsi="Arial" w:eastAsia="仿宋_GB2312" w:cs="Arial"/>
          <w:b/>
          <w:sz w:val="72"/>
          <w:szCs w:val="72"/>
        </w:rPr>
        <w:t xml:space="preserve">北京急救中心合同 </w:t>
      </w:r>
      <w:r>
        <w:rPr>
          <w:rFonts w:hint="eastAsia" w:ascii="Arial" w:hAnsi="Arial" w:eastAsia="仿宋_GB2312" w:cs="Arial"/>
          <w:b/>
          <w:sz w:val="48"/>
          <w:szCs w:val="48"/>
        </w:rPr>
        <w:t xml:space="preserve"> </w:t>
      </w:r>
    </w:p>
    <w:p>
      <w:pPr>
        <w:rPr>
          <w:rFonts w:ascii="Arial" w:hAnsi="Arial" w:eastAsia="仿宋_GB2312" w:cs="Arial"/>
          <w:sz w:val="32"/>
          <w:szCs w:val="32"/>
        </w:rPr>
      </w:pPr>
      <w:r>
        <w:rPr>
          <w:rFonts w:hint="eastAsia" w:ascii="Arial" w:hAnsi="Arial" w:eastAsia="仿宋_GB2312" w:cs="Arial"/>
          <w:sz w:val="48"/>
          <w:szCs w:val="48"/>
        </w:rPr>
        <w:t xml:space="preserve">            </w:t>
      </w:r>
    </w:p>
    <w:p>
      <w:pPr>
        <w:rPr>
          <w:rFonts w:ascii="Arial" w:hAnsi="Arial" w:eastAsia="仿宋_GB2312" w:cs="Arial"/>
          <w:sz w:val="24"/>
        </w:rPr>
      </w:pPr>
    </w:p>
    <w:p>
      <w:pPr>
        <w:ind w:left="641" w:leftChars="304" w:hanging="3"/>
        <w:rPr>
          <w:rFonts w:ascii="Arial" w:hAnsi="Arial" w:eastAsia="仿宋_GB2312" w:cs="Arial"/>
          <w:b/>
          <w:sz w:val="32"/>
          <w:szCs w:val="32"/>
        </w:rPr>
      </w:pPr>
    </w:p>
    <w:p>
      <w:pPr>
        <w:ind w:left="641" w:leftChars="304" w:hanging="3"/>
        <w:rPr>
          <w:rFonts w:ascii="Arial" w:hAnsi="Arial" w:eastAsia="仿宋_GB2312" w:cs="Arial"/>
          <w:sz w:val="24"/>
        </w:rPr>
      </w:pPr>
      <w:r>
        <w:rPr>
          <w:rFonts w:hint="eastAsia" w:ascii="Arial" w:hAnsi="Arial" w:eastAsia="仿宋_GB2312" w:cs="Arial"/>
          <w:b/>
          <w:sz w:val="32"/>
          <w:szCs w:val="32"/>
        </w:rPr>
        <w:t xml:space="preserve">合同编号：        </w:t>
      </w:r>
    </w:p>
    <w:p>
      <w:pPr>
        <w:ind w:left="641" w:leftChars="304" w:hanging="3"/>
        <w:rPr>
          <w:rFonts w:ascii="仿宋_GB2312" w:hAnsi="Arial" w:eastAsia="仿宋_GB2312" w:cs="Arial"/>
          <w:b/>
          <w:sz w:val="32"/>
          <w:szCs w:val="32"/>
        </w:rPr>
      </w:pP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p>
    <w:p>
      <w:pPr>
        <w:ind w:left="641" w:leftChars="304" w:hanging="3"/>
        <w:rPr>
          <w:b/>
          <w:sz w:val="36"/>
          <w:szCs w:val="32"/>
        </w:rPr>
      </w:pPr>
      <w:r>
        <w:rPr>
          <w:rFonts w:hint="eastAsia" w:ascii="仿宋_GB2312" w:hAnsi="宋体" w:eastAsia="仿宋_GB2312"/>
          <w:b/>
          <w:sz w:val="36"/>
          <w:szCs w:val="36"/>
        </w:rPr>
        <w:t>项</w:t>
      </w:r>
      <w:r>
        <w:rPr>
          <w:rFonts w:ascii="仿宋_GB2312" w:hAnsi="宋体" w:eastAsia="仿宋_GB2312"/>
          <w:b/>
          <w:sz w:val="36"/>
          <w:szCs w:val="36"/>
        </w:rPr>
        <w:t xml:space="preserve">   </w:t>
      </w:r>
      <w:r>
        <w:rPr>
          <w:rFonts w:hint="eastAsia" w:ascii="仿宋_GB2312" w:hAnsi="宋体" w:eastAsia="仿宋_GB2312"/>
          <w:b/>
          <w:sz w:val="36"/>
          <w:szCs w:val="36"/>
        </w:rPr>
        <w:t>目</w:t>
      </w:r>
      <w:r>
        <w:rPr>
          <w:rFonts w:hint="eastAsia" w:ascii="仿宋_GB2312" w:hAnsi="宋体" w:eastAsia="仿宋_GB2312"/>
          <w:b/>
          <w:sz w:val="32"/>
          <w:szCs w:val="32"/>
        </w:rPr>
        <w:t xml:space="preserve">：  </w:t>
      </w:r>
      <w:r>
        <w:rPr>
          <w:rFonts w:hint="eastAsia" w:eastAsia="仿宋_GB2312"/>
          <w:b/>
          <w:bCs/>
          <w:sz w:val="40"/>
          <w:szCs w:val="44"/>
          <w:u w:val="single"/>
          <w:lang w:val="en-US" w:eastAsia="zh-CN"/>
        </w:rPr>
        <w:t xml:space="preserve"> 北京急救中心2026年度网站运维技术服务项目</w:t>
      </w:r>
      <w:r>
        <w:rPr>
          <w:rFonts w:hint="eastAsia"/>
          <w:b/>
          <w:sz w:val="40"/>
          <w:szCs w:val="44"/>
          <w:u w:val="single"/>
        </w:rPr>
        <w:t xml:space="preserve"> </w:t>
      </w:r>
    </w:p>
    <w:p>
      <w:pPr>
        <w:ind w:left="641" w:leftChars="304" w:hanging="3"/>
        <w:rPr>
          <w:rFonts w:hint="eastAsia" w:ascii="仿宋_GB2312" w:hAnsi="宋体" w:eastAsia="仿宋_GB2312"/>
          <w:b/>
          <w:sz w:val="32"/>
          <w:szCs w:val="32"/>
          <w:u w:val="single"/>
        </w:rPr>
      </w:pPr>
    </w:p>
    <w:p>
      <w:pPr>
        <w:spacing w:before="120" w:line="360" w:lineRule="auto"/>
        <w:ind w:left="641" w:leftChars="304" w:hanging="3"/>
        <w:rPr>
          <w:rFonts w:hint="eastAsia" w:ascii="仿宋_GB2312" w:hAnsi="宋体" w:eastAsia="仿宋_GB2312"/>
          <w:b/>
          <w:sz w:val="32"/>
          <w:szCs w:val="32"/>
          <w:u w:val="single"/>
        </w:rPr>
      </w:pPr>
    </w:p>
    <w:p>
      <w:pPr>
        <w:spacing w:before="120" w:line="360" w:lineRule="auto"/>
        <w:ind w:left="641" w:leftChars="304" w:hanging="3"/>
        <w:rPr>
          <w:rFonts w:hint="eastAsia" w:ascii="仿宋" w:hAnsi="仿宋" w:eastAsia="仿宋" w:cs="仿宋"/>
          <w:b/>
          <w:sz w:val="32"/>
          <w:szCs w:val="32"/>
        </w:rPr>
      </w:pPr>
      <w:r>
        <w:rPr>
          <w:rFonts w:hint="eastAsia" w:ascii="Arial" w:hAnsi="Arial" w:eastAsia="仿宋_GB2312" w:cs="Arial"/>
          <w:b/>
          <w:sz w:val="32"/>
          <w:szCs w:val="32"/>
        </w:rPr>
        <w:t xml:space="preserve">甲  </w:t>
      </w:r>
      <w:r>
        <w:rPr>
          <w:rFonts w:ascii="Arial" w:hAnsi="Arial" w:eastAsia="仿宋_GB2312" w:cs="Arial"/>
          <w:b/>
          <w:sz w:val="32"/>
          <w:szCs w:val="32"/>
        </w:rPr>
        <w:t>　方：</w:t>
      </w:r>
      <w:r>
        <w:rPr>
          <w:rFonts w:hint="eastAsia" w:ascii="Arial" w:hAnsi="Arial" w:eastAsia="仿宋_GB2312" w:cs="Arial"/>
          <w:b/>
          <w:sz w:val="32"/>
          <w:szCs w:val="32"/>
        </w:rPr>
        <w:t xml:space="preserve"> </w:t>
      </w:r>
      <w:r>
        <w:rPr>
          <w:rFonts w:hint="eastAsia" w:ascii="仿宋" w:hAnsi="仿宋" w:eastAsia="仿宋" w:cs="仿宋"/>
          <w:b/>
          <w:sz w:val="36"/>
          <w:szCs w:val="36"/>
        </w:rPr>
        <w:t>北京急救中心</w:t>
      </w:r>
    </w:p>
    <w:p>
      <w:pPr>
        <w:tabs>
          <w:tab w:val="left" w:pos="567"/>
        </w:tabs>
        <w:spacing w:before="120" w:line="22" w:lineRule="atLeast"/>
        <w:ind w:left="641" w:leftChars="304" w:hanging="3"/>
        <w:rPr>
          <w:rFonts w:hint="eastAsia" w:ascii="宋体" w:hAnsi="宋体"/>
          <w:sz w:val="24"/>
        </w:rPr>
      </w:pPr>
    </w:p>
    <w:p>
      <w:pPr>
        <w:spacing w:line="0" w:lineRule="atLeast"/>
        <w:ind w:firstLine="643" w:firstLineChars="200"/>
        <w:rPr>
          <w:rFonts w:hint="eastAsia" w:ascii="宋体" w:hAnsi="宋体" w:eastAsia="仿宋_GB2312"/>
          <w:sz w:val="24"/>
        </w:rPr>
      </w:pPr>
      <w:r>
        <w:rPr>
          <w:rFonts w:hint="eastAsia" w:ascii="Arial" w:hAnsi="Arial" w:eastAsia="仿宋_GB2312" w:cs="Arial"/>
          <w:b/>
          <w:sz w:val="32"/>
          <w:szCs w:val="32"/>
        </w:rPr>
        <w:t>乙</w:t>
      </w:r>
      <w:r>
        <w:rPr>
          <w:rFonts w:ascii="Arial" w:hAnsi="Arial" w:eastAsia="仿宋_GB2312" w:cs="Arial"/>
          <w:b/>
          <w:sz w:val="32"/>
          <w:szCs w:val="32"/>
        </w:rPr>
        <w:t>　　方：</w:t>
      </w:r>
      <w:r>
        <w:rPr>
          <w:rFonts w:hint="eastAsia" w:ascii="Arial" w:hAnsi="Arial" w:eastAsia="仿宋_GB2312" w:cs="Arial"/>
          <w:b/>
          <w:sz w:val="32"/>
          <w:szCs w:val="32"/>
        </w:rPr>
        <w:t xml:space="preserve"> </w:t>
      </w:r>
    </w:p>
    <w:p>
      <w:pPr>
        <w:rPr>
          <w:rFonts w:hint="default" w:ascii="宋体" w:hAnsi="宋体" w:eastAsia="宋体" w:cs="Times New Roman"/>
          <w:sz w:val="28"/>
          <w:szCs w:val="28"/>
          <w:lang w:val="en-US" w:eastAsia="zh-CN"/>
        </w:rPr>
      </w:pPr>
    </w:p>
    <w:p>
      <w:pPr>
        <w:pStyle w:val="10"/>
        <w:spacing w:line="360" w:lineRule="auto"/>
        <w:rPr>
          <w:rFonts w:hint="eastAsia"/>
          <w:highlight w:val="none"/>
        </w:rPr>
        <w:sectPr>
          <w:headerReference r:id="rId4" w:type="first"/>
          <w:footerReference r:id="rId6" w:type="first"/>
          <w:headerReference r:id="rId3" w:type="default"/>
          <w:footerReference r:id="rId5" w:type="default"/>
          <w:pgSz w:w="11907" w:h="16840"/>
          <w:pgMar w:top="1440" w:right="1797" w:bottom="1440" w:left="1797" w:header="851" w:footer="851" w:gutter="0"/>
          <w:pgNumType w:start="1"/>
          <w:cols w:space="720" w:num="1"/>
          <w:titlePg/>
          <w:docGrid w:linePitch="462" w:charSpace="0"/>
        </w:sectPr>
      </w:pP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bookmarkStart w:id="86" w:name="_Toc63415103"/>
      <w:bookmarkStart w:id="87" w:name="_Toc7569_WPSOffice_Level1"/>
      <w:r>
        <w:rPr>
          <w:rFonts w:hint="eastAsia" w:ascii="方正仿宋_GB2312" w:hAnsi="方正仿宋_GB2312" w:eastAsia="方正仿宋_GB2312" w:cs="方正仿宋_GB2312"/>
          <w:b w:val="0"/>
          <w:bCs w:val="0"/>
          <w:sz w:val="28"/>
          <w:szCs w:val="28"/>
          <w:u w:val="none"/>
          <w:lang w:val="en-US" w:eastAsia="zh-CN"/>
        </w:rPr>
        <w:t>依据《中华人民共和国民法典》的规定，甲乙双方就</w:t>
      </w:r>
      <w:r>
        <w:rPr>
          <w:rFonts w:hint="eastAsia" w:ascii="方正仿宋_GB2312" w:hAnsi="方正仿宋_GB2312" w:eastAsia="方正仿宋_GB2312" w:cs="方正仿宋_GB2312"/>
          <w:b w:val="0"/>
          <w:bCs w:val="0"/>
          <w:sz w:val="28"/>
          <w:szCs w:val="28"/>
          <w:u w:val="single"/>
          <w:lang w:val="en-US" w:eastAsia="zh-CN"/>
        </w:rPr>
        <w:t xml:space="preserve"> 北京急救中心网站运维技术服务 </w:t>
      </w:r>
      <w:r>
        <w:rPr>
          <w:rFonts w:hint="eastAsia" w:ascii="方正仿宋_GB2312" w:hAnsi="方正仿宋_GB2312" w:eastAsia="方正仿宋_GB2312" w:cs="方正仿宋_GB2312"/>
          <w:b w:val="0"/>
          <w:bCs w:val="0"/>
          <w:sz w:val="28"/>
          <w:szCs w:val="28"/>
          <w:u w:val="none"/>
          <w:lang w:val="en-US" w:eastAsia="zh-CN"/>
        </w:rPr>
        <w:t>项目的具体内容，经协商一致，签订本合同，双方共同信守。</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一、</w:t>
      </w:r>
      <w:r>
        <w:rPr>
          <w:rFonts w:hint="eastAsia" w:ascii="方正仿宋_GB2312" w:hAnsi="方正仿宋_GB2312" w:cs="方正仿宋_GB2312"/>
          <w:b/>
          <w:bCs/>
          <w:sz w:val="28"/>
          <w:szCs w:val="28"/>
          <w:u w:val="none"/>
          <w:lang w:val="en-US" w:eastAsia="zh-CN"/>
        </w:rPr>
        <w:t>服务</w:t>
      </w:r>
      <w:r>
        <w:rPr>
          <w:rFonts w:hint="eastAsia" w:ascii="方正仿宋_GB2312" w:hAnsi="方正仿宋_GB2312" w:eastAsia="方正仿宋_GB2312" w:cs="方正仿宋_GB2312"/>
          <w:b/>
          <w:bCs/>
          <w:sz w:val="28"/>
          <w:szCs w:val="28"/>
          <w:u w:val="none"/>
          <w:lang w:val="en-US" w:eastAsia="zh-CN"/>
        </w:rPr>
        <w:t>内容及要求</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outlineLvl w:val="1"/>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（一）服务内容</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在北京急救中心门户网站运营维护阶段，运营维护工作持续</w:t>
      </w:r>
      <w:r>
        <w:rPr>
          <w:rFonts w:hint="eastAsia" w:ascii="方正仿宋_GB2312" w:hAnsi="方正仿宋_GB2312" w:eastAsia="方正仿宋_GB2312" w:cs="方正仿宋_GB2312"/>
          <w:b w:val="0"/>
          <w:bCs w:val="0"/>
          <w:sz w:val="28"/>
          <w:szCs w:val="28"/>
          <w:u w:val="single"/>
          <w:lang w:val="en-US" w:eastAsia="zh-CN"/>
        </w:rPr>
        <w:t>1</w:t>
      </w:r>
      <w:r>
        <w:rPr>
          <w:rFonts w:hint="eastAsia" w:ascii="方正仿宋_GB2312" w:hAnsi="方正仿宋_GB2312" w:eastAsia="方正仿宋_GB2312" w:cs="方正仿宋_GB2312"/>
          <w:b w:val="0"/>
          <w:bCs w:val="0"/>
          <w:sz w:val="28"/>
          <w:szCs w:val="28"/>
          <w:u w:val="none"/>
          <w:lang w:val="en-US" w:eastAsia="zh-CN"/>
        </w:rPr>
        <w:t>年时间。在维护期内提供日常维护服务、技术咨询服务、应急响应服务、系统维护服务、安全巡检服务、系统升级服务、其他服务等服务项目，以保障门户网站正常运转。</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outlineLvl w:val="1"/>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（二）服务要求</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1、乙方保证不以任何方式从甲方获取数据，并传递给他人（或第三方）；</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2、乙方保障系统可靠、稳定地运行（甲方配备的硬件、操作系统、网络、数据库以及其他第三方产品的故障除外）；</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3、乙方提供给甲方使用的软件，乙方应保证拥有所有权和知识产权不侵犯第三人权利。如果被第三方指控侵权，乙方负责协同甲方鉴别并分清责任，若侵权成立，由乙方负责由此引起的一切后果，并赔偿甲方受到的全部损失。</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二、应达到的技术指标和参数</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outlineLvl w:val="1"/>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（一）功能指标</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网站功能性指标内容分为信息发布、在线服务和互动交流三个模块，维护保障以下模块的使用：</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（1）信息发布模块，包括概况信息、工作动态、工作信息。此模块可以发布和展示领导信息、单位介绍、组织机构、动态信息、通知公告、专题专栏、统计信息、人事信息和法规标准；</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（2）在线服务模块，包括专项信息、服务内容。此模块可以发布和展示专业信息、专业培训、健康知识、服务指南、服务热线，提供查询服务、下载服务、专业服务、常见问题解答和服务咨询；</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（3）互动交流模块，包括互动渠道、信件反馈、在线调查。此模块可以发布和展示渠道建设、使用说明、反馈情况、信件公示，提供状态查询、结果查询及满意度评价和在线调查。</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outlineLvl w:val="1"/>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（二）非功能指标</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（1）系统支持并发访问用户数量 1000 人左右；</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（2）响应时间根据功能复杂度不同，控制在0.5s到2s之间；</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（3）在系统维护期内，</w:t>
      </w:r>
      <w:r>
        <w:rPr>
          <w:rFonts w:hint="eastAsia" w:ascii="方正仿宋_GB2312" w:hAnsi="方正仿宋_GB2312" w:cs="方正仿宋_GB2312"/>
          <w:b w:val="0"/>
          <w:bCs w:val="0"/>
          <w:sz w:val="28"/>
          <w:szCs w:val="28"/>
          <w:u w:val="none"/>
          <w:lang w:val="en-US" w:eastAsia="zh-CN"/>
        </w:rPr>
        <w:t>一般</w:t>
      </w:r>
      <w:r>
        <w:rPr>
          <w:rFonts w:hint="eastAsia" w:ascii="方正仿宋_GB2312" w:hAnsi="方正仿宋_GB2312" w:eastAsia="方正仿宋_GB2312" w:cs="方正仿宋_GB2312"/>
          <w:b w:val="0"/>
          <w:bCs w:val="0"/>
          <w:sz w:val="28"/>
          <w:szCs w:val="28"/>
          <w:u w:val="none"/>
          <w:lang w:val="en-US" w:eastAsia="zh-CN"/>
        </w:rPr>
        <w:t>问题在 3 个工作日内解决，重要紧急情况 24 小时内解决；</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（4）页面结构清晰、布局合理、背景恰当美观、主题鲜明；</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（5）技术框架结构合理、网页浏览顺畅，合理使用 CSS 样式、表单元素种类丰富、色彩合理、布局得体；</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（6）网站依托安可云部署，满足国产化适配要求，具备安全性、可扩展性、维护方便性和高可用性等；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（7）制定系统安全策略、升级应用服务器安全策略、升级数据库软件安全策略、系统日常安全维护</w:t>
      </w:r>
      <w:r>
        <w:rPr>
          <w:rFonts w:hint="eastAsia" w:ascii="方正仿宋_GB2312" w:hAnsi="方正仿宋_GB2312" w:cs="方正仿宋_GB2312"/>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（8）国家重大节假日、甲方重大演练活动以及甲方业务需要的重要信息安全保障时间内，协助中心开展需要进行重点安全保障的任务，及时处理各类信息安全事件，确保信息系统安全稳定运行</w:t>
      </w:r>
      <w:r>
        <w:rPr>
          <w:rFonts w:hint="eastAsia" w:ascii="方正仿宋_GB2312" w:hAnsi="方正仿宋_GB2312" w:cs="方正仿宋_GB2312"/>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（9）配合等级保护测评人员准备等级保护测评相关资料，根据初测结果提出整改方案，根据整改方案对业务系统涉及的主机操作系统、中间件、数据库等漏洞进行整改加固。</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三、维护服务计划</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北京急救中心门户网站维护合同签订之日起</w:t>
      </w:r>
      <w:r>
        <w:rPr>
          <w:rFonts w:hint="eastAsia" w:ascii="方正仿宋_GB2312" w:hAnsi="方正仿宋_GB2312" w:eastAsia="方正仿宋_GB2312" w:cs="方正仿宋_GB2312"/>
          <w:b w:val="0"/>
          <w:bCs w:val="0"/>
          <w:sz w:val="28"/>
          <w:szCs w:val="28"/>
          <w:u w:val="single"/>
          <w:lang w:val="en-US" w:eastAsia="zh-CN"/>
        </w:rPr>
        <w:t xml:space="preserve"> </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single"/>
          <w:lang w:val="en-US" w:eastAsia="zh-CN"/>
        </w:rPr>
        <w:t>1</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none"/>
          <w:lang w:val="en-US" w:eastAsia="zh-CN"/>
        </w:rPr>
        <w:t>年内提供系统维护服务，具体服务内容及费用如下表所示。</w:t>
      </w:r>
    </w:p>
    <w:tbl>
      <w:tblPr>
        <w:tblStyle w:val="3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55"/>
        <w:gridCol w:w="473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运维服务项目</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服务概述</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日常维护服务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技术人员通过远程方式解决用户常见问题包括：后台系统操作、图片格式调整、飘窗显示样式等。</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例如：当用户遇到操作问题时，技术人员根据问题的具体需要，提供操作步骤指导。</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cs="方正仿宋_GB2312"/>
                <w:sz w:val="24"/>
                <w:szCs w:val="24"/>
                <w:lang w:val="en-US" w:eastAsia="zh-CN"/>
              </w:rPr>
              <w:t>66</w:t>
            </w:r>
            <w:r>
              <w:rPr>
                <w:rFonts w:hint="eastAsia" w:ascii="方正仿宋_GB2312" w:hAnsi="方正仿宋_GB2312" w:eastAsia="方正仿宋_GB2312" w:cs="方正仿宋_GB2312"/>
                <w:sz w:val="24"/>
                <w:szCs w:val="24"/>
                <w:lang w:val="en-US"/>
              </w:rPr>
              <w:t>00</w:t>
            </w:r>
            <w:r>
              <w:rPr>
                <w:rFonts w:hint="eastAsia" w:ascii="方正仿宋_GB2312" w:hAnsi="方正仿宋_GB2312" w:eastAsia="方正仿宋_GB2312" w:cs="方正仿宋_GB2312"/>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技术咨询服务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1、提供网站实施、后台系统维护及操作系统、数据库、服务器等方面的技术咨询服务。</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2、协助</w:t>
            </w:r>
            <w:r>
              <w:rPr>
                <w:rFonts w:hint="eastAsia" w:ascii="方正仿宋_GB2312" w:hAnsi="方正仿宋_GB2312" w:eastAsia="方正仿宋_GB2312" w:cs="方正仿宋_GB2312"/>
                <w:sz w:val="24"/>
                <w:szCs w:val="24"/>
                <w:lang w:val="en-US"/>
              </w:rPr>
              <w:t>北京</w:t>
            </w:r>
            <w:r>
              <w:rPr>
                <w:rFonts w:hint="eastAsia" w:ascii="方正仿宋_GB2312" w:hAnsi="方正仿宋_GB2312" w:eastAsia="方正仿宋_GB2312" w:cs="方正仿宋_GB2312"/>
                <w:sz w:val="24"/>
                <w:szCs w:val="24"/>
              </w:rPr>
              <w:t>急救中心完成上级单位的检查，提供检查项目信息等。</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cs="方正仿宋_GB2312"/>
                <w:sz w:val="24"/>
                <w:szCs w:val="24"/>
                <w:lang w:val="en-US" w:eastAsia="zh-CN"/>
              </w:rPr>
              <w:t>8</w:t>
            </w:r>
            <w:r>
              <w:rPr>
                <w:rFonts w:hint="eastAsia" w:ascii="方正仿宋_GB2312" w:hAnsi="方正仿宋_GB2312" w:eastAsia="方正仿宋_GB2312" w:cs="方正仿宋_GB2312"/>
                <w:sz w:val="24"/>
                <w:szCs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应急响应服务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提供节假日应急响应服务，在此期间安排技术人员进行 7*24 小时值班，确保网站的正常运行。</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cs="方正仿宋_GB2312"/>
                <w:sz w:val="24"/>
                <w:szCs w:val="24"/>
                <w:lang w:val="en-US" w:eastAsia="zh-CN"/>
              </w:rPr>
              <w:t>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系统维护服务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从门户网站、后台管理程序、服务器操作系统、企业邮箱等方面，针对系统提供全方位的系统维护服务。当网站及后台系统发现 bug 问题时，在最短时间进行修复工作。</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cs="方正仿宋_GB2312"/>
                <w:sz w:val="24"/>
                <w:szCs w:val="24"/>
                <w:lang w:val="en-US" w:eastAsia="zh-CN"/>
              </w:rPr>
              <w:t>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安全巡检服务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1、每周远程访问服务器排查巡检系统故障隐患，修复安全漏洞；</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2、针对急救中心上级单位漏洞检查要求，组织技术人员进行漏洞排查及处理工作，并出具漏洞检查回函；</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3、每个月详细巡检一次，并出具巡检报告。</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rPr>
              <w:t>3</w:t>
            </w:r>
            <w:r>
              <w:rPr>
                <w:rFonts w:hint="eastAsia" w:ascii="方正仿宋_GB2312" w:hAnsi="方正仿宋_GB2312" w:cs="方正仿宋_GB2312"/>
                <w:sz w:val="24"/>
                <w:szCs w:val="24"/>
                <w:lang w:val="en-US" w:eastAsia="zh-CN"/>
              </w:rPr>
              <w:t>6</w:t>
            </w:r>
            <w:r>
              <w:rPr>
                <w:rFonts w:hint="eastAsia" w:ascii="方正仿宋_GB2312" w:hAnsi="方正仿宋_GB2312" w:eastAsia="方正仿宋_GB2312" w:cs="方正仿宋_GB2312"/>
                <w:sz w:val="24"/>
                <w:szCs w:val="24"/>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系统升级服务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为保证网站使用性能，将根据实际需要，对服务器上部署的操作系统、网络环境、数据库等应用系统进行升级服务。</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cs="方正仿宋_GB2312"/>
                <w:sz w:val="24"/>
                <w:szCs w:val="24"/>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1、网站测评服务支持；</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安可</w:t>
            </w:r>
            <w:r>
              <w:rPr>
                <w:rFonts w:hint="eastAsia" w:ascii="方正仿宋_GB2312" w:hAnsi="方正仿宋_GB2312" w:eastAsia="方正仿宋_GB2312" w:cs="方正仿宋_GB2312"/>
                <w:sz w:val="24"/>
                <w:szCs w:val="24"/>
              </w:rPr>
              <w:t>云相关服务升级，例如：域名实名制认证服务升级等；</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3、提醒政务云按时给域名续费；</w:t>
            </w:r>
          </w:p>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rPr>
              <w:t>4</w:t>
            </w:r>
            <w:r>
              <w:rPr>
                <w:rFonts w:hint="eastAsia" w:ascii="方正仿宋_GB2312" w:hAnsi="方正仿宋_GB2312" w:eastAsia="方正仿宋_GB2312" w:cs="方正仿宋_GB2312"/>
                <w:sz w:val="24"/>
                <w:szCs w:val="24"/>
              </w:rPr>
              <w:t>、其他与急救中心网站运行相关的服务等。</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cs="方正仿宋_GB2312"/>
                <w:sz w:val="24"/>
                <w:szCs w:val="24"/>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rPr>
              <w:t>8</w:t>
            </w:r>
          </w:p>
        </w:tc>
        <w:tc>
          <w:tcPr>
            <w:tcW w:w="1755"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rPr>
              <w:t>技术更新服务</w:t>
            </w:r>
          </w:p>
        </w:tc>
        <w:tc>
          <w:tcPr>
            <w:tcW w:w="4734"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rPr>
              <w:t>每年进行一次网站逻辑架构的更新、引用的插件版本升级及最新技术的插件更换</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cs="方正仿宋_GB2312"/>
                <w:sz w:val="24"/>
                <w:szCs w:val="24"/>
                <w:lang w:val="en-US" w:eastAsia="zh-CN"/>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176" w:type="dxa"/>
            <w:gridSpan w:val="3"/>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rPr>
              <w:t>合计</w:t>
            </w:r>
          </w:p>
        </w:tc>
        <w:tc>
          <w:tcPr>
            <w:tcW w:w="1343" w:type="dxa"/>
            <w:vAlign w:val="center"/>
          </w:tcPr>
          <w:p>
            <w:pPr>
              <w:pStyle w:val="7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cs="方正仿宋_GB2312"/>
                <w:sz w:val="24"/>
                <w:szCs w:val="24"/>
                <w:lang w:val="en-US" w:eastAsia="zh-CN"/>
              </w:rPr>
              <w:t>89800.00</w:t>
            </w:r>
          </w:p>
        </w:tc>
      </w:tr>
    </w:tbl>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9"/>
        <w:rPr>
          <w:rFonts w:hint="eastAsia" w:ascii="方正仿宋_GB2312" w:hAnsi="方正仿宋_GB2312" w:eastAsia="方正仿宋_GB2312" w:cs="方正仿宋_GB2312"/>
          <w:b/>
          <w:bCs/>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四、金额及结算方式</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本项目运维</w:t>
      </w:r>
      <w:r>
        <w:rPr>
          <w:rFonts w:hint="eastAsia" w:ascii="方正仿宋_GB2312" w:hAnsi="方正仿宋_GB2312" w:cs="方正仿宋_GB2312"/>
          <w:b w:val="0"/>
          <w:bCs w:val="0"/>
          <w:sz w:val="28"/>
          <w:szCs w:val="28"/>
          <w:u w:val="none"/>
          <w:lang w:val="en-US" w:eastAsia="zh-CN"/>
        </w:rPr>
        <w:t>服务金额</w:t>
      </w:r>
      <w:r>
        <w:rPr>
          <w:rFonts w:hint="eastAsia" w:ascii="方正仿宋_GB2312" w:hAnsi="方正仿宋_GB2312" w:eastAsia="方正仿宋_GB2312" w:cs="方正仿宋_GB2312"/>
          <w:b w:val="0"/>
          <w:bCs w:val="0"/>
          <w:sz w:val="28"/>
          <w:szCs w:val="28"/>
          <w:u w:val="none"/>
          <w:lang w:val="en-US" w:eastAsia="zh-CN"/>
        </w:rPr>
        <w:t>（大写）：</w:t>
      </w:r>
      <w:r>
        <w:rPr>
          <w:rFonts w:hint="eastAsia" w:ascii="方正仿宋_GB2312" w:hAnsi="方正仿宋_GB2312" w:eastAsia="方正仿宋_GB2312" w:cs="方正仿宋_GB2312"/>
          <w:b w:val="0"/>
          <w:bCs w:val="0"/>
          <w:sz w:val="28"/>
          <w:szCs w:val="28"/>
          <w:u w:val="single"/>
          <w:lang w:val="en-US" w:eastAsia="zh-CN"/>
        </w:rPr>
        <w:t>人民币捌万玖仟捌佰元整（￥89,800.00元）（含税）</w:t>
      </w:r>
      <w:r>
        <w:rPr>
          <w:rFonts w:hint="eastAsia" w:ascii="方正仿宋_GB2312" w:hAnsi="方正仿宋_GB2312" w:eastAsia="方正仿宋_GB2312" w:cs="方正仿宋_GB2312"/>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支付方式</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（1）合同签订后</w:t>
      </w:r>
      <w:r>
        <w:rPr>
          <w:rFonts w:hint="eastAsia" w:ascii="方正仿宋_GB2312" w:hAnsi="方正仿宋_GB2312" w:eastAsia="方正仿宋_GB2312" w:cs="方正仿宋_GB2312"/>
          <w:b w:val="0"/>
          <w:bCs w:val="0"/>
          <w:sz w:val="28"/>
          <w:szCs w:val="28"/>
          <w:u w:val="single"/>
          <w:lang w:val="en-US" w:eastAsia="zh-CN"/>
        </w:rPr>
        <w:t xml:space="preserve"> 15 </w:t>
      </w:r>
      <w:r>
        <w:rPr>
          <w:rFonts w:hint="eastAsia" w:ascii="方正仿宋_GB2312" w:hAnsi="方正仿宋_GB2312" w:eastAsia="方正仿宋_GB2312" w:cs="方正仿宋_GB2312"/>
          <w:b w:val="0"/>
          <w:bCs w:val="0"/>
          <w:sz w:val="28"/>
          <w:szCs w:val="28"/>
          <w:u w:val="none"/>
          <w:lang w:val="en-US" w:eastAsia="zh-CN"/>
        </w:rPr>
        <w:t>个工作日内，甲方向乙方支付合同金额（大写）：</w:t>
      </w:r>
      <w:r>
        <w:rPr>
          <w:rFonts w:hint="eastAsia" w:ascii="方正仿宋_GB2312" w:hAnsi="方正仿宋_GB2312" w:eastAsia="方正仿宋_GB2312" w:cs="方正仿宋_GB2312"/>
          <w:b w:val="0"/>
          <w:bCs w:val="0"/>
          <w:sz w:val="28"/>
          <w:szCs w:val="28"/>
          <w:u w:val="single"/>
          <w:lang w:val="en-US" w:eastAsia="zh-CN"/>
        </w:rPr>
        <w:t>人民币柒万壹仟捌佰肆拾元整（￥</w:t>
      </w:r>
      <w:r>
        <w:rPr>
          <w:rFonts w:hint="eastAsia" w:ascii="方正仿宋_GB2312" w:hAnsi="方正仿宋_GB2312" w:cs="方正仿宋_GB2312"/>
          <w:b w:val="0"/>
          <w:bCs w:val="0"/>
          <w:sz w:val="28"/>
          <w:szCs w:val="28"/>
          <w:u w:val="single"/>
          <w:lang w:val="en-US" w:eastAsia="zh-CN"/>
        </w:rPr>
        <w:t>71,840</w:t>
      </w:r>
      <w:r>
        <w:rPr>
          <w:rFonts w:hint="eastAsia" w:ascii="方正仿宋_GB2312" w:hAnsi="方正仿宋_GB2312" w:eastAsia="方正仿宋_GB2312" w:cs="方正仿宋_GB2312"/>
          <w:b w:val="0"/>
          <w:bCs w:val="0"/>
          <w:sz w:val="28"/>
          <w:szCs w:val="28"/>
          <w:u w:val="single"/>
          <w:lang w:val="en-US" w:eastAsia="zh-CN"/>
        </w:rPr>
        <w:t>.00元）</w:t>
      </w:r>
      <w:r>
        <w:rPr>
          <w:rFonts w:hint="eastAsia" w:ascii="方正仿宋_GB2312" w:hAnsi="方正仿宋_GB2312" w:eastAsia="方正仿宋_GB2312" w:cs="方正仿宋_GB2312"/>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（2）合同维护期满</w:t>
      </w:r>
      <w:r>
        <w:rPr>
          <w:rFonts w:hint="eastAsia" w:ascii="方正仿宋_GB2312" w:hAnsi="方正仿宋_GB2312" w:cs="方正仿宋_GB2312"/>
          <w:b w:val="0"/>
          <w:bCs w:val="0"/>
          <w:sz w:val="28"/>
          <w:szCs w:val="28"/>
          <w:u w:val="none"/>
          <w:lang w:val="en-US" w:eastAsia="zh-CN"/>
        </w:rPr>
        <w:t>后</w:t>
      </w:r>
      <w:r>
        <w:rPr>
          <w:rFonts w:hint="eastAsia" w:ascii="方正仿宋_GB2312" w:hAnsi="方正仿宋_GB2312" w:eastAsia="方正仿宋_GB2312" w:cs="方正仿宋_GB2312"/>
          <w:b w:val="0"/>
          <w:bCs w:val="0"/>
          <w:sz w:val="28"/>
          <w:szCs w:val="28"/>
          <w:u w:val="single"/>
          <w:lang w:val="en-US" w:eastAsia="zh-CN"/>
        </w:rPr>
        <w:t xml:space="preserve"> 15 </w:t>
      </w:r>
      <w:r>
        <w:rPr>
          <w:rFonts w:hint="eastAsia" w:ascii="方正仿宋_GB2312" w:hAnsi="方正仿宋_GB2312" w:eastAsia="方正仿宋_GB2312" w:cs="方正仿宋_GB2312"/>
          <w:b w:val="0"/>
          <w:bCs w:val="0"/>
          <w:sz w:val="28"/>
          <w:szCs w:val="28"/>
          <w:u w:val="none"/>
          <w:lang w:val="en-US" w:eastAsia="zh-CN"/>
        </w:rPr>
        <w:t>个工作日内，甲方向乙方支付合同金额（大写）：</w:t>
      </w:r>
      <w:r>
        <w:rPr>
          <w:rFonts w:hint="eastAsia" w:ascii="方正仿宋_GB2312" w:hAnsi="方正仿宋_GB2312" w:eastAsia="方正仿宋_GB2312" w:cs="方正仿宋_GB2312"/>
          <w:b w:val="0"/>
          <w:bCs w:val="0"/>
          <w:sz w:val="28"/>
          <w:szCs w:val="28"/>
          <w:u w:val="single"/>
          <w:lang w:val="en-US" w:eastAsia="zh-CN"/>
        </w:rPr>
        <w:t>人民币壹万柒仟玖佰陆拾元整（￥</w:t>
      </w:r>
      <w:r>
        <w:rPr>
          <w:rFonts w:hint="eastAsia" w:ascii="方正仿宋_GB2312" w:hAnsi="方正仿宋_GB2312" w:cs="方正仿宋_GB2312"/>
          <w:b w:val="0"/>
          <w:bCs w:val="0"/>
          <w:sz w:val="28"/>
          <w:szCs w:val="28"/>
          <w:u w:val="single"/>
          <w:lang w:val="en-US" w:eastAsia="zh-CN"/>
        </w:rPr>
        <w:t>17,960</w:t>
      </w:r>
      <w:r>
        <w:rPr>
          <w:rFonts w:hint="eastAsia" w:ascii="方正仿宋_GB2312" w:hAnsi="方正仿宋_GB2312" w:eastAsia="方正仿宋_GB2312" w:cs="方正仿宋_GB2312"/>
          <w:b w:val="0"/>
          <w:bCs w:val="0"/>
          <w:sz w:val="28"/>
          <w:szCs w:val="28"/>
          <w:u w:val="single"/>
          <w:lang w:val="en-US" w:eastAsia="zh-CN"/>
        </w:rPr>
        <w:t>.00元）</w:t>
      </w:r>
      <w:r>
        <w:rPr>
          <w:rFonts w:hint="eastAsia" w:ascii="方正仿宋_GB2312" w:hAnsi="方正仿宋_GB2312" w:eastAsia="方正仿宋_GB2312" w:cs="方正仿宋_GB2312"/>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甲方支付款项前，乙方需提前向甲方开具合法有效的等额增值税专用发票，否则甲方有权拒绝付款。因乙方原因导致甲方迟延付款，甲方不承担任何责任。</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五、利用服务经费购置的设备、器材、资料的财产权属</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利用服务经费购置的设备、器材、资料的所有权属委托方（甲方）所有。</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六、甲方的责任与义务</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（一）在项目维护过程中，甲方指派项目负责人，并组织有关人员参与本项目的技术维护等实施工作。</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（二）组织相关人员对乙方提交的阶段交付物等进行审查及确认。如因甲方未能及时回复而影响项目实施，视为甲方责任。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（三）负责协调乙方在项目维护方面的相关工作。</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（四）负责协调本项目与其他相关项目之间的关系。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（五）按照合同规定向乙方支付合同款项。</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七、乙方的责任与义务</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（一）在项目具体实施的过程当中，乙方承诺严格按照 ISO9000 系列标准、涉密信息系统标准规范，严密组织，认真规划，严格监管，以确保项目按期保质完成。</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（二）乙方严格按照项目管理实施的规定组织相关专家、技术人员、设备及其他必需的条件等会同甲方指定人员成立项目组，负责本项目的具体实施工作。</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（三）乙方保证，按照项目技术方案所需人员资质进行配置，并保证项目人员组织结构的稳定，项目的高级管理人员和关键技术人员如果发生变动，乙方必须提前 1 个工作月向甲方进行书面申请，得到甲方认可后方能发生变动。</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（四）甲方有权提出对不适合承担本项目工作的乙方项目组成人员进行更换。乙方应在接到甲方更换通知起三日内完成更换。</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（五）乙方在各阶段的技术方案须获得甲方认可后方可实施，并按照进度计划的要求完成各阶段的工作内容。</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（六）乙方向甲方交付的最终项目成果须达到甲方的要求，并须经过甲乙双方共同书面确认签字。</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（七）若本项目的服务需要分包，乙方应事先征得甲方书面同意。</w:t>
      </w:r>
      <w:r>
        <w:rPr>
          <w:rFonts w:hint="eastAsia" w:ascii="方正仿宋_GB2312" w:hAnsi="方正仿宋_GB2312" w:cs="方正仿宋_GB2312"/>
          <w:b w:val="0"/>
          <w:bCs w:val="0"/>
          <w:sz w:val="28"/>
          <w:szCs w:val="28"/>
          <w:u w:val="none"/>
          <w:lang w:val="en-US" w:eastAsia="zh-CN"/>
        </w:rPr>
        <w:t>且</w:t>
      </w:r>
      <w:r>
        <w:rPr>
          <w:rFonts w:hint="eastAsia" w:ascii="方正仿宋_GB2312" w:hAnsi="方正仿宋_GB2312" w:eastAsia="方正仿宋_GB2312" w:cs="方正仿宋_GB2312"/>
          <w:b w:val="0"/>
          <w:bCs w:val="0"/>
          <w:sz w:val="28"/>
          <w:szCs w:val="28"/>
          <w:u w:val="none"/>
          <w:lang w:val="en-US" w:eastAsia="zh-CN"/>
        </w:rPr>
        <w:t>乙方作为本项目的总承包商，除对本项目的整体质量和进度负责外，还需负责本项目的总体规划、协调、项目实施管理，协调各分承包商之间的关系和各子系统之间的接口。</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（八）乙方有责任对可能造成工期延误的事项及时书面提醒甲方。</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（九）对于由乙方技术认定后认为可以在项目中使用，但实际使用时不能满足本项目需求的第三方产品，则由乙方按甲方合同价购回。</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（十）项目竣工验收完成后，如出现重大系统事故，经甲乙双方认定的第三方检测机构确认乙方产品或服务缺陷，视为乙方责任。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（十一）乙方应对其方案设计中提出的所需设备需求、技术参数的准确性、完整性以及适当性承担责任。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（十二）乙方有责任配合完成年度信息安全等级保护测评报告。</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八、技术成果的归属和分享</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（一）本项目所涉及的专利申请权、技术秘密使用权、软件著作权、转让权</w:t>
      </w:r>
      <w:r>
        <w:rPr>
          <w:rFonts w:hint="eastAsia" w:ascii="方正仿宋_GB2312" w:hAnsi="方正仿宋_GB2312" w:cs="方正仿宋_GB2312"/>
          <w:b w:val="0"/>
          <w:bCs w:val="0"/>
          <w:sz w:val="28"/>
          <w:szCs w:val="28"/>
          <w:u w:val="none"/>
          <w:lang w:val="en-US" w:eastAsia="zh-CN"/>
        </w:rPr>
        <w:t>等</w:t>
      </w:r>
      <w:r>
        <w:rPr>
          <w:rFonts w:hint="eastAsia" w:ascii="方正仿宋_GB2312" w:hAnsi="方正仿宋_GB2312" w:eastAsia="方正仿宋_GB2312" w:cs="方正仿宋_GB2312"/>
          <w:b w:val="0"/>
          <w:bCs w:val="0"/>
          <w:sz w:val="28"/>
          <w:szCs w:val="28"/>
          <w:u w:val="none"/>
          <w:lang w:val="en-US" w:eastAsia="zh-CN"/>
        </w:rPr>
        <w:t>归甲方所有。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若乙方在为甲方服务本项目时，需应用乙方已产品化的软件和系统（包括源代码、程序和文档），则应用乙方已产品化的软件和系统（包括源代码、程序和文档）的新产品的所有权和知识产权（包括但不限于著作权、专利权等）由甲方所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三）本合同服务过程中和最终所产生的技术成果的知识产权（包括但不限于著作权及邻接权、专利权、技术秘密、商业秘密等）归甲方所有。本款所述技术成果（软件和系统）只能用于本项目，若乙方将其用于其他目的，应经甲方书面同意。</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（四）对于合同履行过程中乙方开发的与本项目相关的所有软件，乙方均应向甲方提供其源代码副本，前述源代码副本由甲乙双方共有，且甲方有修改权和拷贝权，乙方未经甲方许可不得向第三方展示或提供。</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（五）乙方在本项目中向甲方提供的交付物不得侵害任何现存的第三方，否则，一切后果均由乙方承担，并对甲方产生的损失进行赔偿。</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（六）以上条款不因合同效力的终止而终止。</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九、技术情报和资料的保密</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乙方同意并保证乙方及其雇员、第三方会谈人员使用至少与甲方使用于自身专有资料相同的谨慎与防范措施，对在履行本合同过程中知悉甲方的任何资料、信息或数据予以保密。未经甲方书面允许，不得复制、向他人透露或者使用该资料或数据。若乙方及其雇员、第三方会谈人员泄露甲方资料、信息或数据等保密信息的，则需</w:t>
      </w:r>
      <w:r>
        <w:rPr>
          <w:rFonts w:hint="eastAsia" w:ascii="方正仿宋_GB2312" w:hAnsi="方正仿宋_GB2312" w:cs="方正仿宋_GB2312"/>
          <w:b w:val="0"/>
          <w:bCs w:val="0"/>
          <w:sz w:val="28"/>
          <w:szCs w:val="28"/>
          <w:u w:val="none"/>
          <w:lang w:val="en-US" w:eastAsia="zh-CN"/>
        </w:rPr>
        <w:t>向甲</w:t>
      </w:r>
      <w:r>
        <w:rPr>
          <w:rFonts w:hint="eastAsia" w:ascii="方正仿宋_GB2312" w:hAnsi="方正仿宋_GB2312" w:eastAsia="方正仿宋_GB2312" w:cs="方正仿宋_GB2312"/>
          <w:b w:val="0"/>
          <w:bCs w:val="0"/>
          <w:sz w:val="28"/>
          <w:szCs w:val="28"/>
          <w:u w:val="none"/>
          <w:lang w:val="en-US" w:eastAsia="zh-CN"/>
        </w:rPr>
        <w:t>方支付违约金5万元，并赔偿甲方因此受到的全部损失，包括但不限于诉讼费、鉴定费、律师费等。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对甲方自身的特殊保密需求，甲方有义务对产品维护等需要而提供给乙方的资料或数据实施合乎规定的保密处理措施，并对此负责；同时，乙方保证其雇员、会谈人员或其他任何第三方人员，对知悉甲方的任何信息、资料承担保密责任，并有义务遵守。在项目实施完成后，应在甲方指定期限内归还甲方提供的所有非公开的业务资料，并不得就此要求经济补偿，若未及时归还或未全部归还的，则需向甲方支付违约金5万元，并赔偿甲方因此受到的全部损失，包括但不限于诉讼费、鉴定费、律师费等。</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（三）乙方承诺在执行本合同中对所知悉的甲方拥有的信息承担保密责任，乙方同意保证其员工、其他合伙人签署保密协议，遵守并承担本合同保密责任。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（四）参与本合同业务的双方员工从项目中撤出时，双方应确保立即终止该员工获得保密信息和信息源的途径。</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（五）保密期限：三年（系统运维服务结束之日起三年）</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（六）违反保密条款，甲方有权追究其责任，并按国家和甲方单位的保密规定执行处罚。</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（七）以上条款不因合同效力的终止而终止。</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w:t>
      </w:r>
      <w:r>
        <w:rPr>
          <w:rFonts w:hint="eastAsia" w:ascii="方正仿宋_GB2312" w:hAnsi="方正仿宋_GB2312" w:cs="方正仿宋_GB2312"/>
          <w:b/>
          <w:bCs/>
          <w:sz w:val="28"/>
          <w:szCs w:val="28"/>
          <w:u w:val="none"/>
          <w:lang w:val="en-US" w:eastAsia="zh-CN"/>
        </w:rPr>
        <w:t>合同</w:t>
      </w:r>
      <w:r>
        <w:rPr>
          <w:rFonts w:hint="eastAsia" w:ascii="方正仿宋_GB2312" w:hAnsi="方正仿宋_GB2312" w:eastAsia="方正仿宋_GB2312" w:cs="方正仿宋_GB2312"/>
          <w:b/>
          <w:bCs/>
          <w:sz w:val="28"/>
          <w:szCs w:val="28"/>
          <w:u w:val="none"/>
          <w:lang w:val="en-US" w:eastAsia="zh-CN"/>
        </w:rPr>
        <w:t>履行期限、地点和方式</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本合同自</w:t>
      </w:r>
      <w:r>
        <w:rPr>
          <w:rFonts w:hint="eastAsia" w:ascii="方正仿宋_GB2312" w:hAnsi="方正仿宋_GB2312" w:eastAsia="方正仿宋_GB2312" w:cs="方正仿宋_GB2312"/>
          <w:b w:val="0"/>
          <w:bCs w:val="0"/>
          <w:sz w:val="28"/>
          <w:szCs w:val="28"/>
          <w:u w:val="single"/>
          <w:lang w:val="en-US" w:eastAsia="zh-CN"/>
        </w:rPr>
        <w:t xml:space="preserve"> 202</w:t>
      </w:r>
      <w:r>
        <w:rPr>
          <w:rFonts w:hint="eastAsia" w:ascii="方正仿宋_GB2312" w:hAnsi="方正仿宋_GB2312" w:cs="方正仿宋_GB2312"/>
          <w:b w:val="0"/>
          <w:bCs w:val="0"/>
          <w:sz w:val="28"/>
          <w:szCs w:val="28"/>
          <w:u w:val="single"/>
          <w:lang w:val="en-US" w:eastAsia="zh-CN"/>
        </w:rPr>
        <w:t>6</w:t>
      </w:r>
      <w:r>
        <w:rPr>
          <w:rFonts w:hint="eastAsia" w:ascii="方正仿宋_GB2312" w:hAnsi="方正仿宋_GB2312" w:eastAsia="方正仿宋_GB2312" w:cs="方正仿宋_GB2312"/>
          <w:b w:val="0"/>
          <w:bCs w:val="0"/>
          <w:sz w:val="28"/>
          <w:szCs w:val="28"/>
          <w:u w:val="single"/>
          <w:lang w:val="en-US" w:eastAsia="zh-CN"/>
        </w:rPr>
        <w:t xml:space="preserve">年 6 月 </w:t>
      </w:r>
      <w:r>
        <w:rPr>
          <w:rFonts w:hint="eastAsia" w:ascii="方正仿宋_GB2312" w:hAnsi="方正仿宋_GB2312" w:cs="方正仿宋_GB2312"/>
          <w:b w:val="0"/>
          <w:bCs w:val="0"/>
          <w:sz w:val="28"/>
          <w:szCs w:val="28"/>
          <w:u w:val="single"/>
          <w:lang w:val="en-US" w:eastAsia="zh-CN"/>
        </w:rPr>
        <w:t>29</w:t>
      </w:r>
      <w:r>
        <w:rPr>
          <w:rFonts w:hint="eastAsia" w:ascii="方正仿宋_GB2312" w:hAnsi="方正仿宋_GB2312" w:eastAsia="方正仿宋_GB2312" w:cs="方正仿宋_GB2312"/>
          <w:b w:val="0"/>
          <w:bCs w:val="0"/>
          <w:sz w:val="28"/>
          <w:szCs w:val="28"/>
          <w:u w:val="single"/>
          <w:lang w:val="en-US" w:eastAsia="zh-CN"/>
        </w:rPr>
        <w:t>日</w:t>
      </w:r>
      <w:r>
        <w:rPr>
          <w:rFonts w:hint="eastAsia" w:ascii="方正仿宋_GB2312" w:hAnsi="方正仿宋_GB2312" w:eastAsia="方正仿宋_GB2312" w:cs="方正仿宋_GB2312"/>
          <w:b w:val="0"/>
          <w:bCs w:val="0"/>
          <w:sz w:val="28"/>
          <w:szCs w:val="28"/>
          <w:u w:val="none"/>
          <w:lang w:val="en-US" w:eastAsia="zh-CN"/>
        </w:rPr>
        <w:t xml:space="preserve">  至 </w:t>
      </w:r>
      <w:r>
        <w:rPr>
          <w:rFonts w:hint="eastAsia" w:ascii="方正仿宋_GB2312" w:hAnsi="方正仿宋_GB2312" w:eastAsia="方正仿宋_GB2312" w:cs="方正仿宋_GB2312"/>
          <w:b w:val="0"/>
          <w:bCs w:val="0"/>
          <w:sz w:val="28"/>
          <w:szCs w:val="28"/>
          <w:u w:val="single"/>
          <w:lang w:val="en-US" w:eastAsia="zh-CN"/>
        </w:rPr>
        <w:t xml:space="preserve"> 202</w:t>
      </w:r>
      <w:r>
        <w:rPr>
          <w:rFonts w:hint="eastAsia" w:ascii="方正仿宋_GB2312" w:hAnsi="方正仿宋_GB2312" w:cs="方正仿宋_GB2312"/>
          <w:b w:val="0"/>
          <w:bCs w:val="0"/>
          <w:sz w:val="28"/>
          <w:szCs w:val="28"/>
          <w:u w:val="single"/>
          <w:lang w:val="en-US" w:eastAsia="zh-CN"/>
        </w:rPr>
        <w:t>7</w:t>
      </w:r>
      <w:r>
        <w:rPr>
          <w:rFonts w:hint="eastAsia" w:ascii="方正仿宋_GB2312" w:hAnsi="方正仿宋_GB2312" w:eastAsia="方正仿宋_GB2312" w:cs="方正仿宋_GB2312"/>
          <w:b w:val="0"/>
          <w:bCs w:val="0"/>
          <w:sz w:val="28"/>
          <w:szCs w:val="28"/>
          <w:u w:val="single"/>
          <w:lang w:val="en-US" w:eastAsia="zh-CN"/>
        </w:rPr>
        <w:t xml:space="preserve">年 </w:t>
      </w:r>
      <w:r>
        <w:rPr>
          <w:rFonts w:hint="eastAsia" w:ascii="方正仿宋_GB2312" w:hAnsi="方正仿宋_GB2312" w:cs="方正仿宋_GB2312"/>
          <w:b w:val="0"/>
          <w:bCs w:val="0"/>
          <w:sz w:val="28"/>
          <w:szCs w:val="28"/>
          <w:u w:val="single"/>
          <w:lang w:val="en-US" w:eastAsia="zh-CN"/>
        </w:rPr>
        <w:t>6</w:t>
      </w:r>
      <w:r>
        <w:rPr>
          <w:rFonts w:hint="eastAsia" w:ascii="方正仿宋_GB2312" w:hAnsi="方正仿宋_GB2312" w:eastAsia="方正仿宋_GB2312" w:cs="方正仿宋_GB2312"/>
          <w:b w:val="0"/>
          <w:bCs w:val="0"/>
          <w:sz w:val="28"/>
          <w:szCs w:val="28"/>
          <w:u w:val="single"/>
          <w:lang w:val="en-US" w:eastAsia="zh-CN"/>
        </w:rPr>
        <w:t xml:space="preserve"> 月 </w:t>
      </w:r>
      <w:r>
        <w:rPr>
          <w:rFonts w:hint="eastAsia" w:ascii="方正仿宋_GB2312" w:hAnsi="方正仿宋_GB2312" w:cs="方正仿宋_GB2312"/>
          <w:b w:val="0"/>
          <w:bCs w:val="0"/>
          <w:sz w:val="28"/>
          <w:szCs w:val="28"/>
          <w:u w:val="single"/>
          <w:lang w:val="en-US" w:eastAsia="zh-CN"/>
        </w:rPr>
        <w:t>28</w:t>
      </w:r>
      <w:r>
        <w:rPr>
          <w:rFonts w:hint="eastAsia" w:ascii="方正仿宋_GB2312" w:hAnsi="方正仿宋_GB2312" w:eastAsia="方正仿宋_GB2312" w:cs="方正仿宋_GB2312"/>
          <w:b w:val="0"/>
          <w:bCs w:val="0"/>
          <w:sz w:val="28"/>
          <w:szCs w:val="28"/>
          <w:u w:val="single"/>
          <w:lang w:val="en-US" w:eastAsia="zh-CN"/>
        </w:rPr>
        <w:t>日</w:t>
      </w:r>
      <w:r>
        <w:rPr>
          <w:rFonts w:hint="eastAsia" w:ascii="方正仿宋_GB2312" w:hAnsi="方正仿宋_GB2312" w:eastAsia="方正仿宋_GB2312" w:cs="方正仿宋_GB2312"/>
          <w:b w:val="0"/>
          <w:bCs w:val="0"/>
          <w:sz w:val="28"/>
          <w:szCs w:val="28"/>
          <w:u w:val="none"/>
          <w:lang w:val="en-US" w:eastAsia="zh-CN"/>
        </w:rPr>
        <w:t>在</w:t>
      </w:r>
      <w:r>
        <w:rPr>
          <w:rFonts w:hint="eastAsia" w:ascii="方正仿宋_GB2312" w:hAnsi="方正仿宋_GB2312" w:eastAsia="方正仿宋_GB2312" w:cs="方正仿宋_GB2312"/>
          <w:b w:val="0"/>
          <w:bCs w:val="0"/>
          <w:sz w:val="28"/>
          <w:szCs w:val="28"/>
          <w:u w:val="single"/>
          <w:lang w:val="en-US" w:eastAsia="zh-CN"/>
        </w:rPr>
        <w:t xml:space="preserve"> 北京 </w:t>
      </w:r>
      <w:r>
        <w:rPr>
          <w:rFonts w:hint="eastAsia" w:ascii="方正仿宋_GB2312" w:hAnsi="方正仿宋_GB2312" w:eastAsia="方正仿宋_GB2312" w:cs="方正仿宋_GB2312"/>
          <w:b w:val="0"/>
          <w:bCs w:val="0"/>
          <w:sz w:val="28"/>
          <w:szCs w:val="28"/>
          <w:u w:val="none"/>
          <w:lang w:val="en-US" w:eastAsia="zh-CN"/>
        </w:rPr>
        <w:t>履行。</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合同签订后，乙方进入维护阶段，并按规定合同履行期限指派工程师对甲方网站进行维护服务。</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十一、技术协作和技术指导的内容</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为使合同能够顺利实施，在合同履行期限内，甲方负责提供必要的网络环境、办公场地及合同实施所必备的资料等相应的支持条件，如乙方在实施本合同涉及有关甲方的技术和管理问题，甲方负责对相关问题的解答进行协调。</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（二）乙方应切实保证服务内容的有效执行，并确保在合同的实施过程中及实施后不对甲方的知识产权构成侵权。</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（三）乙方应严格遵守甲方相关的保密规定。如有违反，乙方承担相应的责任。</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十二、风险责任的承担</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在履行本合同的过程中，确因在现有水平和条件下难以克服的技术困难，导致研究开发部分或全部失败所造成的损失，风险责任由</w:t>
      </w:r>
      <w:r>
        <w:rPr>
          <w:rFonts w:hint="eastAsia" w:ascii="方正仿宋_GB2312" w:hAnsi="方正仿宋_GB2312" w:cs="方正仿宋_GB2312"/>
          <w:b w:val="0"/>
          <w:bCs w:val="0"/>
          <w:sz w:val="28"/>
          <w:szCs w:val="28"/>
          <w:u w:val="single"/>
          <w:lang w:val="en-US" w:eastAsia="zh-CN"/>
        </w:rPr>
        <w:t>双方</w:t>
      </w:r>
      <w:r>
        <w:rPr>
          <w:rFonts w:hint="eastAsia" w:ascii="方正仿宋_GB2312" w:hAnsi="方正仿宋_GB2312" w:eastAsia="方正仿宋_GB2312" w:cs="方正仿宋_GB2312"/>
          <w:b w:val="0"/>
          <w:bCs w:val="0"/>
          <w:sz w:val="28"/>
          <w:szCs w:val="28"/>
          <w:u w:val="none"/>
          <w:lang w:val="en-US" w:eastAsia="zh-CN"/>
        </w:rPr>
        <w:t>承担。</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cs="方正仿宋_GB2312"/>
          <w:b w:val="0"/>
          <w:bCs w:val="0"/>
          <w:sz w:val="28"/>
          <w:szCs w:val="28"/>
          <w:u w:val="none"/>
          <w:lang w:val="en-US" w:eastAsia="zh-CN"/>
        </w:rPr>
        <w:t>（一）</w:t>
      </w:r>
      <w:r>
        <w:rPr>
          <w:rFonts w:hint="eastAsia" w:ascii="方正仿宋_GB2312" w:hAnsi="方正仿宋_GB2312" w:eastAsia="方正仿宋_GB2312" w:cs="方正仿宋_GB2312"/>
          <w:b w:val="0"/>
          <w:bCs w:val="0"/>
          <w:sz w:val="28"/>
          <w:szCs w:val="28"/>
          <w:u w:val="none"/>
          <w:lang w:val="en-US" w:eastAsia="zh-CN"/>
        </w:rPr>
        <w:t>合同签订后，如发生不可抗力，受阻方无法履约，则履约期限按照不可抗力影响履约的时间作相应地延长；如不可抗力导致全部或部分合同无法履行时，双方可以终止合同，受阻方可部分或全部免除责任，但因受阻方未尽合同职责及其他违约行为导致合同顺延期间发生的不可抗力除外。</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cs="方正仿宋_GB2312"/>
          <w:b w:val="0"/>
          <w:bCs w:val="0"/>
          <w:sz w:val="28"/>
          <w:szCs w:val="28"/>
          <w:u w:val="none"/>
          <w:lang w:val="en-US" w:eastAsia="zh-CN"/>
        </w:rPr>
        <w:t>（二）</w:t>
      </w:r>
      <w:r>
        <w:rPr>
          <w:rFonts w:hint="eastAsia" w:ascii="方正仿宋_GB2312" w:hAnsi="方正仿宋_GB2312" w:eastAsia="方正仿宋_GB2312" w:cs="方正仿宋_GB2312"/>
          <w:b w:val="0"/>
          <w:bCs w:val="0"/>
          <w:sz w:val="28"/>
          <w:szCs w:val="28"/>
          <w:u w:val="none"/>
          <w:lang w:val="en-US" w:eastAsia="zh-CN"/>
        </w:rPr>
        <w:t>当不可抗力发生时和终止后，受阻方应尽快以书面方式通知另一方，并提供权威部门的证明供其认可。</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cs="方正仿宋_GB2312"/>
          <w:b w:val="0"/>
          <w:bCs w:val="0"/>
          <w:sz w:val="28"/>
          <w:szCs w:val="28"/>
          <w:u w:val="none"/>
          <w:lang w:val="en-US" w:eastAsia="zh-CN"/>
        </w:rPr>
        <w:t>（三）</w:t>
      </w:r>
      <w:r>
        <w:rPr>
          <w:rFonts w:hint="eastAsia" w:ascii="方正仿宋_GB2312" w:hAnsi="方正仿宋_GB2312" w:eastAsia="方正仿宋_GB2312" w:cs="方正仿宋_GB2312"/>
          <w:b w:val="0"/>
          <w:bCs w:val="0"/>
          <w:sz w:val="28"/>
          <w:szCs w:val="28"/>
          <w:u w:val="none"/>
          <w:lang w:val="en-US" w:eastAsia="zh-CN"/>
        </w:rPr>
        <w:t>如果不可抗力持续超过 60 天，另一方有权书面通知受阻方终止合同，通知到达即生效。</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十三、验收</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系统维护所完成的技术成果，按甲方要求提供所有系统巡检记录和故障分析报告，</w:t>
      </w:r>
      <w:r>
        <w:rPr>
          <w:rFonts w:hint="eastAsia" w:ascii="方正仿宋_GB2312" w:hAnsi="方正仿宋_GB2312" w:cs="方正仿宋_GB2312"/>
          <w:b w:val="0"/>
          <w:bCs w:val="0"/>
          <w:sz w:val="28"/>
          <w:szCs w:val="28"/>
          <w:u w:val="none"/>
          <w:lang w:val="en-US" w:eastAsia="zh-CN"/>
        </w:rPr>
        <w:t>采用</w:t>
      </w:r>
      <w:r>
        <w:rPr>
          <w:rFonts w:hint="eastAsia" w:ascii="方正仿宋_GB2312" w:hAnsi="方正仿宋_GB2312" w:eastAsia="方正仿宋_GB2312" w:cs="方正仿宋_GB2312"/>
          <w:b w:val="0"/>
          <w:bCs w:val="0"/>
          <w:sz w:val="28"/>
          <w:szCs w:val="28"/>
          <w:u w:val="single"/>
          <w:lang w:val="en-US" w:eastAsia="zh-CN"/>
        </w:rPr>
        <w:t xml:space="preserve">  甲方接收已认可服务年报 </w:t>
      </w:r>
      <w:r>
        <w:rPr>
          <w:rFonts w:hint="eastAsia" w:ascii="方正仿宋_GB2312" w:hAnsi="方正仿宋_GB2312" w:eastAsia="方正仿宋_GB2312" w:cs="方正仿宋_GB2312"/>
          <w:b w:val="0"/>
          <w:bCs w:val="0"/>
          <w:sz w:val="28"/>
          <w:szCs w:val="28"/>
          <w:u w:val="none"/>
          <w:lang w:val="en-US" w:eastAsia="zh-CN"/>
        </w:rPr>
        <w:t xml:space="preserve"> 方式进行验收。</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十四、转让与分包</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除非甲方书面同意，乙方不得部分转让或全部转让其应履行的合同项下的义务。经甲方同意的分包商不得再次转让与分包。</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十五、违约金或者损失赔偿额的计算</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违反本合同约定，除本合同另有约定外，违约方应当按照《中华人民共和国民法典》有关条款的规定承担违约责任。</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default"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乙方违反本合同第一、二、三、七条约定，应承担以下违约责任：乙方每发生一次违反合同约定的情形，按合同金额的  5%  支付给甲方违约金，违约金以合同金额 30% 为上限。甲方有权在未付款项中扣除相应违约金。如发生三次（含）以上的，甲方有权解除合同，并要求乙方退还已支付的全部费用，且乙方应按照合同金额的30%向甲方支付违约金。</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因违约产生的费用包括但不限于律师费、诉讼费、公证费、鉴定费等费用由败诉方承担。</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十六、解决合同纠纷的方式</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在履行本合同的过程中发生争议，如果双方当事人和解或调解不成，双方均有权向甲方所在地有管辖权的法院提起诉讼。</w:t>
      </w:r>
    </w:p>
    <w:p>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方正仿宋_GB2312" w:hAnsi="方正仿宋_GB2312" w:eastAsia="方正仿宋_GB2312" w:cs="方正仿宋_GB2312"/>
          <w:b/>
          <w:bCs/>
          <w:sz w:val="28"/>
          <w:szCs w:val="28"/>
          <w:u w:val="none"/>
          <w:lang w:val="en-US" w:eastAsia="zh-CN"/>
        </w:rPr>
      </w:pPr>
      <w:r>
        <w:rPr>
          <w:rFonts w:hint="eastAsia" w:ascii="方正仿宋_GB2312" w:hAnsi="方正仿宋_GB2312" w:eastAsia="方正仿宋_GB2312" w:cs="方正仿宋_GB2312"/>
          <w:b/>
          <w:bCs/>
          <w:sz w:val="28"/>
          <w:szCs w:val="28"/>
          <w:u w:val="none"/>
          <w:lang w:val="en-US" w:eastAsia="zh-CN"/>
        </w:rPr>
        <w:t>十七、其它</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（一）本合同一式</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single"/>
          <w:lang w:val="en-US" w:eastAsia="zh-CN"/>
        </w:rPr>
        <w:t xml:space="preserve"> </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single"/>
          <w:lang w:val="en-US" w:eastAsia="zh-CN"/>
        </w:rPr>
        <w:t xml:space="preserve">肆 </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none"/>
          <w:lang w:val="en-US" w:eastAsia="zh-CN"/>
        </w:rPr>
        <w:t>份，肆份合同具有同等法律效力，甲方执</w:t>
      </w:r>
      <w:r>
        <w:rPr>
          <w:rFonts w:hint="eastAsia" w:ascii="方正仿宋_GB2312" w:hAnsi="方正仿宋_GB2312" w:eastAsia="方正仿宋_GB2312" w:cs="方正仿宋_GB2312"/>
          <w:b w:val="0"/>
          <w:bCs w:val="0"/>
          <w:sz w:val="28"/>
          <w:szCs w:val="28"/>
          <w:u w:val="single"/>
          <w:lang w:val="en-US" w:eastAsia="zh-CN"/>
        </w:rPr>
        <w:t xml:space="preserve"> 贰 </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none"/>
          <w:lang w:val="en-US" w:eastAsia="zh-CN"/>
        </w:rPr>
        <w:t>份，乙方执</w:t>
      </w:r>
      <w:r>
        <w:rPr>
          <w:rFonts w:hint="eastAsia" w:ascii="方正仿宋_GB2312" w:hAnsi="方正仿宋_GB2312" w:eastAsia="方正仿宋_GB2312" w:cs="方正仿宋_GB2312"/>
          <w:b w:val="0"/>
          <w:bCs w:val="0"/>
          <w:sz w:val="28"/>
          <w:szCs w:val="28"/>
          <w:u w:val="single"/>
          <w:lang w:val="en-US" w:eastAsia="zh-CN"/>
        </w:rPr>
        <w:t xml:space="preserve"> </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single"/>
          <w:lang w:val="en-US" w:eastAsia="zh-CN"/>
        </w:rPr>
        <w:t>贰</w:t>
      </w:r>
      <w:r>
        <w:rPr>
          <w:rFonts w:hint="eastAsia" w:ascii="方正仿宋_GB2312" w:hAnsi="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single"/>
          <w:lang w:val="en-US" w:eastAsia="zh-CN"/>
        </w:rPr>
        <w:t xml:space="preserve"> </w:t>
      </w:r>
      <w:r>
        <w:rPr>
          <w:rFonts w:hint="eastAsia" w:ascii="方正仿宋_GB2312" w:hAnsi="方正仿宋_GB2312" w:eastAsia="方正仿宋_GB2312" w:cs="方正仿宋_GB2312"/>
          <w:b w:val="0"/>
          <w:bCs w:val="0"/>
          <w:sz w:val="28"/>
          <w:szCs w:val="28"/>
          <w:u w:val="none"/>
          <w:lang w:val="en-US" w:eastAsia="zh-CN"/>
        </w:rPr>
        <w:t>份，</w:t>
      </w:r>
      <w:r>
        <w:rPr>
          <w:rFonts w:hint="eastAsia" w:ascii="方正仿宋_GB2312" w:hAnsi="方正仿宋_GB2312" w:cs="方正仿宋_GB2312"/>
          <w:b w:val="0"/>
          <w:bCs w:val="0"/>
          <w:sz w:val="28"/>
          <w:szCs w:val="28"/>
          <w:u w:val="none"/>
          <w:lang w:val="en-US" w:eastAsia="zh-CN"/>
        </w:rPr>
        <w:t>经</w:t>
      </w:r>
      <w:r>
        <w:rPr>
          <w:rFonts w:hint="eastAsia" w:ascii="方正仿宋_GB2312" w:hAnsi="方正仿宋_GB2312" w:eastAsia="方正仿宋_GB2312" w:cs="方正仿宋_GB2312"/>
          <w:b w:val="0"/>
          <w:bCs w:val="0"/>
          <w:sz w:val="28"/>
          <w:szCs w:val="28"/>
          <w:u w:val="none"/>
          <w:lang w:val="en-US" w:eastAsia="zh-CN"/>
        </w:rPr>
        <w:t>甲乙双方签字并加盖公章后生效，具有同等法律效力。</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（二）本合同附件与合同正本具有同等法律效力。</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r>
        <w:rPr>
          <w:rFonts w:hint="eastAsia" w:ascii="方正仿宋_GB2312" w:hAnsi="方正仿宋_GB2312" w:eastAsia="方正仿宋_GB2312" w:cs="方正仿宋_GB2312"/>
          <w:b w:val="0"/>
          <w:bCs w:val="0"/>
          <w:sz w:val="28"/>
          <w:szCs w:val="28"/>
          <w:u w:val="none"/>
          <w:lang w:val="en-US" w:eastAsia="zh-CN"/>
        </w:rPr>
        <w:t>（三）本合同未尽事宜，如出现合同约定以外的问题，双方应本着友好协商的精神，根据本合同书确定的原则，从实际需要出发，另行订立补充协议。补充协议与合同具有同等法律效力。补充协议自双方签字盖章之日起生效。</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u w:val="none"/>
          <w:lang w:val="en-US" w:eastAsia="zh-CN"/>
        </w:rPr>
      </w:pPr>
    </w:p>
    <w:tbl>
      <w:tblPr>
        <w:tblStyle w:val="74"/>
        <w:tblW w:w="9086"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3"/>
        <w:gridCol w:w="1714"/>
        <w:gridCol w:w="6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restart"/>
            <w:vAlign w:val="center"/>
          </w:tcPr>
          <w:p>
            <w:pPr>
              <w:pStyle w:val="73"/>
              <w:ind w:left="11"/>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甲方</w:t>
            </w:r>
          </w:p>
        </w:tc>
        <w:tc>
          <w:tcPr>
            <w:tcW w:w="1714" w:type="dxa"/>
          </w:tcPr>
          <w:p>
            <w:pPr>
              <w:pStyle w:val="73"/>
              <w:spacing w:before="190"/>
              <w:ind w:left="10"/>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名称</w:t>
            </w:r>
          </w:p>
        </w:tc>
        <w:tc>
          <w:tcPr>
            <w:tcW w:w="6229" w:type="dxa"/>
          </w:tcPr>
          <w:p>
            <w:pPr>
              <w:pStyle w:val="73"/>
              <w:spacing w:before="180"/>
              <w:ind w:left="308"/>
              <w:rPr>
                <w:rFonts w:hint="eastAsia" w:ascii="方正仿宋_GB2312" w:hAnsi="方正仿宋_GB2312" w:eastAsia="方正仿宋_GB2312" w:cs="方正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before="108" w:line="557" w:lineRule="exact"/>
              <w:ind w:left="9"/>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法定代表人</w:t>
            </w:r>
          </w:p>
        </w:tc>
        <w:tc>
          <w:tcPr>
            <w:tcW w:w="6229" w:type="dxa"/>
          </w:tcPr>
          <w:p>
            <w:pPr>
              <w:pStyle w:val="73"/>
              <w:spacing w:before="108" w:line="557" w:lineRule="exact"/>
              <w:ind w:right="14"/>
              <w:jc w:val="righ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(签 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before="142" w:line="589" w:lineRule="exact"/>
              <w:ind w:left="9"/>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委托代理人</w:t>
            </w:r>
          </w:p>
        </w:tc>
        <w:tc>
          <w:tcPr>
            <w:tcW w:w="6229" w:type="dxa"/>
          </w:tcPr>
          <w:p>
            <w:pPr>
              <w:pStyle w:val="73"/>
              <w:spacing w:before="142" w:line="589" w:lineRule="exact"/>
              <w:ind w:right="14"/>
              <w:jc w:val="righ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(签 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vAlign w:val="center"/>
          </w:tcPr>
          <w:p>
            <w:pPr>
              <w:pStyle w:val="73"/>
              <w:ind w:left="11"/>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(通讯地址)</w:t>
            </w:r>
          </w:p>
        </w:tc>
        <w:tc>
          <w:tcPr>
            <w:tcW w:w="6229" w:type="dxa"/>
            <w:vAlign w:val="center"/>
          </w:tcPr>
          <w:p>
            <w:pPr>
              <w:pStyle w:val="73"/>
              <w:jc w:val="center"/>
              <w:rPr>
                <w:rFonts w:hint="default" w:ascii="方正仿宋_GB2312" w:hAnsi="方正仿宋_GB2312" w:eastAsia="方正仿宋_GB2312" w:cs="方正仿宋_GB2312"/>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before="108" w:line="553" w:lineRule="exact"/>
              <w:ind w:left="9"/>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开户银行</w:t>
            </w:r>
          </w:p>
        </w:tc>
        <w:tc>
          <w:tcPr>
            <w:tcW w:w="6229" w:type="dxa"/>
            <w:vAlign w:val="center"/>
          </w:tcPr>
          <w:p>
            <w:pPr>
              <w:pStyle w:val="73"/>
              <w:jc w:val="center"/>
              <w:rPr>
                <w:rFonts w:hint="eastAsia" w:ascii="方正仿宋_GB2312" w:hAnsi="方正仿宋_GB2312" w:eastAsia="方正仿宋_GB2312" w:cs="方正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before="39"/>
              <w:ind w:left="5"/>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帐号</w:t>
            </w:r>
          </w:p>
        </w:tc>
        <w:tc>
          <w:tcPr>
            <w:tcW w:w="6229" w:type="dxa"/>
            <w:vAlign w:val="center"/>
          </w:tcPr>
          <w:p>
            <w:pPr>
              <w:pStyle w:val="73"/>
              <w:jc w:val="center"/>
              <w:rPr>
                <w:rFonts w:hint="eastAsia" w:ascii="方正仿宋_GB2312" w:hAnsi="方正仿宋_GB2312" w:eastAsia="方正仿宋_GB2312" w:cs="方正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restart"/>
            <w:vAlign w:val="center"/>
          </w:tcPr>
          <w:p>
            <w:pPr>
              <w:pStyle w:val="73"/>
              <w:ind w:left="11"/>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乙方</w:t>
            </w:r>
          </w:p>
        </w:tc>
        <w:tc>
          <w:tcPr>
            <w:tcW w:w="1714" w:type="dxa"/>
          </w:tcPr>
          <w:p>
            <w:pPr>
              <w:pStyle w:val="73"/>
              <w:spacing w:before="118" w:line="565" w:lineRule="exact"/>
              <w:ind w:left="10"/>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名称</w:t>
            </w:r>
          </w:p>
        </w:tc>
        <w:tc>
          <w:tcPr>
            <w:tcW w:w="6229" w:type="dxa"/>
          </w:tcPr>
          <w:p>
            <w:pPr>
              <w:pStyle w:val="73"/>
              <w:spacing w:before="118" w:line="565" w:lineRule="exact"/>
              <w:ind w:left="209"/>
              <w:rPr>
                <w:rFonts w:hint="default" w:ascii="方正仿宋_GB2312" w:hAnsi="方正仿宋_GB2312" w:eastAsia="方正仿宋_GB2312" w:cs="方正仿宋_GB2312"/>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before="73" w:line="521" w:lineRule="exact"/>
              <w:ind w:left="9"/>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法定代表人</w:t>
            </w:r>
          </w:p>
        </w:tc>
        <w:tc>
          <w:tcPr>
            <w:tcW w:w="6229" w:type="dxa"/>
          </w:tcPr>
          <w:p>
            <w:pPr>
              <w:pStyle w:val="73"/>
              <w:tabs>
                <w:tab w:val="left" w:pos="842"/>
              </w:tabs>
              <w:spacing w:before="73" w:line="521" w:lineRule="exact"/>
              <w:ind w:right="17"/>
              <w:jc w:val="righ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（签</w:t>
            </w:r>
            <w:r>
              <w:rPr>
                <w:rFonts w:hint="eastAsia" w:ascii="方正仿宋_GB2312" w:hAnsi="方正仿宋_GB2312" w:cs="方正仿宋_GB2312"/>
                <w:b/>
                <w:bCs/>
                <w:sz w:val="24"/>
                <w:szCs w:val="24"/>
                <w:lang w:val="en-US" w:eastAsia="zh-CN"/>
              </w:rPr>
              <w:t xml:space="preserve"> </w:t>
            </w:r>
            <w:r>
              <w:rPr>
                <w:rFonts w:hint="eastAsia" w:ascii="方正仿宋_GB2312" w:hAnsi="方正仿宋_GB2312" w:eastAsia="方正仿宋_GB2312" w:cs="方正仿宋_GB2312"/>
                <w:b/>
                <w:bCs/>
                <w:spacing w:val="-3"/>
                <w:sz w:val="24"/>
                <w:szCs w:val="24"/>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line="520" w:lineRule="exact"/>
              <w:ind w:left="4"/>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委托代理人</w:t>
            </w:r>
          </w:p>
        </w:tc>
        <w:tc>
          <w:tcPr>
            <w:tcW w:w="6229" w:type="dxa"/>
          </w:tcPr>
          <w:p>
            <w:pPr>
              <w:pStyle w:val="73"/>
              <w:tabs>
                <w:tab w:val="left" w:pos="842"/>
              </w:tabs>
              <w:spacing w:before="65" w:line="454" w:lineRule="exact"/>
              <w:ind w:right="17"/>
              <w:jc w:val="righ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（签</w:t>
            </w:r>
            <w:r>
              <w:rPr>
                <w:rFonts w:hint="eastAsia" w:ascii="方正仿宋_GB2312" w:hAnsi="方正仿宋_GB2312" w:cs="方正仿宋_GB2312"/>
                <w:b/>
                <w:bCs/>
                <w:sz w:val="24"/>
                <w:szCs w:val="24"/>
                <w:lang w:val="en-US" w:eastAsia="zh-CN"/>
              </w:rPr>
              <w:t xml:space="preserve"> </w:t>
            </w:r>
            <w:r>
              <w:rPr>
                <w:rFonts w:hint="eastAsia" w:ascii="方正仿宋_GB2312" w:hAnsi="方正仿宋_GB2312" w:eastAsia="方正仿宋_GB2312" w:cs="方正仿宋_GB2312"/>
                <w:b/>
                <w:bCs/>
                <w:spacing w:val="-3"/>
                <w:sz w:val="24"/>
                <w:szCs w:val="24"/>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vAlign w:val="center"/>
          </w:tcPr>
          <w:p>
            <w:pPr>
              <w:pStyle w:val="73"/>
              <w:spacing w:line="497" w:lineRule="exact"/>
              <w:ind w:left="7"/>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(通讯地址)</w:t>
            </w:r>
          </w:p>
        </w:tc>
        <w:tc>
          <w:tcPr>
            <w:tcW w:w="6229" w:type="dxa"/>
            <w:vAlign w:val="center"/>
          </w:tcPr>
          <w:p>
            <w:pPr>
              <w:pStyle w:val="73"/>
              <w:jc w:val="center"/>
              <w:rPr>
                <w:rFonts w:hint="default" w:ascii="方正仿宋_GB2312" w:hAnsi="方正仿宋_GB2312" w:eastAsia="方正仿宋_GB2312" w:cs="方正仿宋_GB2312"/>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before="99" w:line="545" w:lineRule="exact"/>
              <w:ind w:left="9"/>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开户银行</w:t>
            </w:r>
          </w:p>
        </w:tc>
        <w:tc>
          <w:tcPr>
            <w:tcW w:w="6229" w:type="dxa"/>
            <w:vAlign w:val="center"/>
          </w:tcPr>
          <w:p>
            <w:pPr>
              <w:pStyle w:val="73"/>
              <w:spacing w:before="99" w:line="545" w:lineRule="exact"/>
              <w:jc w:val="center"/>
              <w:rPr>
                <w:rFonts w:hint="eastAsia" w:ascii="方正仿宋_GB2312" w:hAnsi="方正仿宋_GB2312" w:eastAsia="方正仿宋_GB2312" w:cs="方正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43" w:type="dxa"/>
            <w:vMerge w:val="continue"/>
          </w:tcPr>
          <w:p>
            <w:pPr>
              <w:rPr>
                <w:rFonts w:hint="eastAsia" w:ascii="方正仿宋_GB2312" w:hAnsi="方正仿宋_GB2312" w:eastAsia="方正仿宋_GB2312" w:cs="方正仿宋_GB2312"/>
                <w:b/>
                <w:bCs/>
                <w:sz w:val="24"/>
                <w:szCs w:val="24"/>
              </w:rPr>
            </w:pPr>
          </w:p>
        </w:tc>
        <w:tc>
          <w:tcPr>
            <w:tcW w:w="1714" w:type="dxa"/>
          </w:tcPr>
          <w:p>
            <w:pPr>
              <w:pStyle w:val="73"/>
              <w:spacing w:line="498" w:lineRule="exact"/>
              <w:ind w:left="5"/>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帐号</w:t>
            </w:r>
          </w:p>
        </w:tc>
        <w:tc>
          <w:tcPr>
            <w:tcW w:w="6229" w:type="dxa"/>
            <w:vAlign w:val="center"/>
          </w:tcPr>
          <w:p>
            <w:pPr>
              <w:pStyle w:val="73"/>
              <w:spacing w:before="96"/>
              <w:jc w:val="center"/>
              <w:rPr>
                <w:rFonts w:hint="eastAsia" w:ascii="方正仿宋_GB2312" w:hAnsi="方正仿宋_GB2312" w:eastAsia="方正仿宋_GB2312" w:cs="方正仿宋_GB2312"/>
                <w:b/>
                <w:bCs/>
                <w:sz w:val="24"/>
                <w:szCs w:val="24"/>
              </w:rPr>
            </w:pPr>
          </w:p>
        </w:tc>
      </w:tr>
    </w:tbl>
    <w:p>
      <w:pPr>
        <w:pStyle w:val="2"/>
        <w:spacing w:after="0" w:afterAutospacing="0" w:line="360" w:lineRule="auto"/>
        <w:jc w:val="center"/>
        <w:rPr>
          <w:rFonts w:hint="eastAsia" w:ascii="宋体" w:hAnsi="宋体" w:eastAsia="宋体" w:cs="宋体"/>
          <w:highlight w:val="none"/>
        </w:rPr>
      </w:pPr>
    </w:p>
    <w:p>
      <w:pPr>
        <w:pStyle w:val="2"/>
        <w:spacing w:after="0" w:afterAutospacing="0" w:line="360" w:lineRule="auto"/>
        <w:jc w:val="center"/>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eastAsia="zh-CN"/>
        </w:rPr>
        <w:t>三</w:t>
      </w:r>
      <w:r>
        <w:rPr>
          <w:rFonts w:hint="eastAsia" w:ascii="宋体" w:hAnsi="宋体" w:eastAsia="宋体" w:cs="宋体"/>
          <w:highlight w:val="none"/>
        </w:rPr>
        <w:t>章 采购需求</w:t>
      </w:r>
      <w:bookmarkEnd w:id="86"/>
      <w:bookmarkEnd w:id="87"/>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t>在北京急救中心门户网站运营维护阶段，提供持续 12个月的技术服务工作。在维护期内提供日常维护服务、技术咨询服务、应急响应服务、系统维护服务、安全巡检服务、系统升级服务、其他服务等服务项目，以保障门户网站正常运转。</w:t>
      </w:r>
    </w:p>
    <w:p>
      <w:pPr>
        <w:spacing w:line="360" w:lineRule="auto"/>
        <w:rPr>
          <w:rFonts w:hint="eastAsia" w:ascii="宋体" w:hAnsi="宋体" w:eastAsia="宋体" w:cs="宋体"/>
          <w:highlight w:val="none"/>
        </w:rPr>
      </w:pPr>
      <w:r>
        <w:rPr>
          <w:rFonts w:hint="eastAsia" w:ascii="宋体" w:hAnsi="宋体" w:eastAsia="宋体" w:cs="宋体"/>
          <w:highlight w:val="none"/>
        </w:rPr>
        <w:t>（一）服务要求</w:t>
      </w:r>
    </w:p>
    <w:p>
      <w:pPr>
        <w:spacing w:line="360" w:lineRule="auto"/>
        <w:rPr>
          <w:rFonts w:hint="eastAsia" w:ascii="宋体" w:hAnsi="宋体" w:eastAsia="宋体" w:cs="宋体"/>
          <w:highlight w:val="none"/>
        </w:rPr>
      </w:pPr>
      <w:r>
        <w:rPr>
          <w:rFonts w:hint="eastAsia" w:ascii="宋体" w:hAnsi="宋体" w:eastAsia="宋体" w:cs="宋体"/>
          <w:highlight w:val="none"/>
        </w:rPr>
        <w:t>1、乙方保证不以任何方式从甲方获取数据，并传递给他人（或第三方）；</w:t>
      </w:r>
    </w:p>
    <w:p>
      <w:pPr>
        <w:spacing w:line="360" w:lineRule="auto"/>
        <w:rPr>
          <w:rFonts w:hint="eastAsia" w:ascii="宋体" w:hAnsi="宋体" w:eastAsia="宋体" w:cs="宋体"/>
          <w:highlight w:val="none"/>
        </w:rPr>
      </w:pPr>
      <w:r>
        <w:rPr>
          <w:rFonts w:hint="eastAsia" w:ascii="宋体" w:hAnsi="宋体" w:eastAsia="宋体" w:cs="宋体"/>
          <w:highlight w:val="none"/>
        </w:rPr>
        <w:t>2、乙方保障系统可靠、稳定地运行（甲方配备的硬件、操作系统、网络、数据库以及其他第三方产品的故障除外）；</w:t>
      </w:r>
    </w:p>
    <w:p>
      <w:pPr>
        <w:spacing w:line="360" w:lineRule="auto"/>
        <w:rPr>
          <w:rFonts w:hint="eastAsia" w:ascii="宋体" w:hAnsi="宋体" w:eastAsia="宋体" w:cs="宋体"/>
          <w:highlight w:val="none"/>
        </w:rPr>
      </w:pPr>
      <w:r>
        <w:rPr>
          <w:rFonts w:hint="eastAsia" w:ascii="宋体" w:hAnsi="宋体" w:eastAsia="宋体" w:cs="宋体"/>
          <w:highlight w:val="none"/>
        </w:rPr>
        <w:t>3、乙方提供给甲方使用的软件，乙方应保证拥有所有权和知识产权不侵犯第三人权利。如果被第三方指控侵权，乙方负责协同甲方鉴别并分清责任，若侵权成立，由乙方负责由此引起的一切后果，并赔偿甲方受到的全部损失。</w:t>
      </w:r>
    </w:p>
    <w:p>
      <w:pPr>
        <w:spacing w:line="360" w:lineRule="auto"/>
        <w:rPr>
          <w:rFonts w:hint="eastAsia" w:ascii="宋体" w:hAnsi="宋体" w:eastAsia="宋体" w:cs="宋体"/>
          <w:highlight w:val="none"/>
        </w:rPr>
      </w:pPr>
      <w:r>
        <w:rPr>
          <w:rFonts w:hint="eastAsia" w:ascii="宋体" w:hAnsi="宋体" w:eastAsia="宋体" w:cs="宋体"/>
          <w:highlight w:val="none"/>
        </w:rPr>
        <w:t>（二）应达到的技术指标和参数</w:t>
      </w:r>
    </w:p>
    <w:p>
      <w:pPr>
        <w:spacing w:line="360" w:lineRule="auto"/>
        <w:rPr>
          <w:rFonts w:hint="eastAsia" w:ascii="宋体" w:hAnsi="宋体" w:eastAsia="宋体" w:cs="宋体"/>
          <w:highlight w:val="none"/>
        </w:rPr>
      </w:pPr>
      <w:r>
        <w:rPr>
          <w:rFonts w:hint="eastAsia" w:ascii="宋体" w:hAnsi="宋体" w:eastAsia="宋体" w:cs="宋体"/>
          <w:highlight w:val="none"/>
        </w:rPr>
        <w:t>1、功能指标</w:t>
      </w:r>
    </w:p>
    <w:p>
      <w:pPr>
        <w:spacing w:line="360" w:lineRule="auto"/>
        <w:rPr>
          <w:rFonts w:hint="eastAsia" w:ascii="宋体" w:hAnsi="宋体" w:eastAsia="宋体" w:cs="宋体"/>
          <w:highlight w:val="none"/>
        </w:rPr>
      </w:pPr>
      <w:r>
        <w:rPr>
          <w:rFonts w:hint="eastAsia" w:ascii="宋体" w:hAnsi="宋体" w:eastAsia="宋体" w:cs="宋体"/>
          <w:highlight w:val="none"/>
        </w:rPr>
        <w:t>网站功能性指标内容分为信息发布、在线服务和互动交流三个模块，维护保障以下模块的使用：</w:t>
      </w:r>
    </w:p>
    <w:p>
      <w:pPr>
        <w:spacing w:line="360" w:lineRule="auto"/>
        <w:rPr>
          <w:rFonts w:hint="eastAsia" w:ascii="宋体" w:hAnsi="宋体" w:eastAsia="宋体" w:cs="宋体"/>
          <w:highlight w:val="none"/>
        </w:rPr>
      </w:pPr>
      <w:r>
        <w:rPr>
          <w:rFonts w:hint="eastAsia" w:ascii="宋体" w:hAnsi="宋体" w:eastAsia="宋体" w:cs="宋体"/>
          <w:highlight w:val="none"/>
        </w:rPr>
        <w:t>（1）信息发布模块，包括概况信息、工作动态、工作信息。此模块可以发布和展示领导信息、单位介绍、组织机构、动态信息、通知公告、专题专栏、统计信息、人事信息和法规标准；</w:t>
      </w:r>
    </w:p>
    <w:p>
      <w:pPr>
        <w:spacing w:line="360" w:lineRule="auto"/>
        <w:rPr>
          <w:rFonts w:hint="eastAsia" w:ascii="宋体" w:hAnsi="宋体" w:eastAsia="宋体" w:cs="宋体"/>
          <w:highlight w:val="none"/>
        </w:rPr>
      </w:pPr>
      <w:r>
        <w:rPr>
          <w:rFonts w:hint="eastAsia" w:ascii="宋体" w:hAnsi="宋体" w:eastAsia="宋体" w:cs="宋体"/>
          <w:highlight w:val="none"/>
        </w:rPr>
        <w:t>（2）在线服务模块，包括专项信息、服务内容。此模块可以发布和展示专业信息、专业培训、健康知识、服务指南、服务热线，提供查询服务、下载服务、专业服务、常见问题解答和服务咨询；</w:t>
      </w:r>
    </w:p>
    <w:p>
      <w:pPr>
        <w:spacing w:line="360" w:lineRule="auto"/>
        <w:rPr>
          <w:rFonts w:hint="eastAsia" w:ascii="宋体" w:hAnsi="宋体" w:eastAsia="宋体" w:cs="宋体"/>
          <w:highlight w:val="none"/>
        </w:rPr>
      </w:pPr>
      <w:r>
        <w:rPr>
          <w:rFonts w:hint="eastAsia" w:ascii="宋体" w:hAnsi="宋体" w:eastAsia="宋体" w:cs="宋体"/>
          <w:highlight w:val="none"/>
        </w:rPr>
        <w:t>（3）互动交流模块，包括互动渠道、信件反馈、在线调查。此模块可以发布和展示渠道建设、使用说明、反馈情况、信件公示，提供状态查询、结果查询及没答复满意度评价和在线调查。</w:t>
      </w:r>
    </w:p>
    <w:p>
      <w:pPr>
        <w:spacing w:line="360" w:lineRule="auto"/>
        <w:rPr>
          <w:rFonts w:hint="eastAsia" w:ascii="宋体" w:hAnsi="宋体" w:eastAsia="宋体" w:cs="宋体"/>
          <w:highlight w:val="none"/>
        </w:rPr>
      </w:pPr>
      <w:r>
        <w:rPr>
          <w:rFonts w:hint="eastAsia" w:ascii="宋体" w:hAnsi="宋体" w:eastAsia="宋体" w:cs="宋体"/>
          <w:highlight w:val="none"/>
        </w:rPr>
        <w:t>2、非功能指标</w:t>
      </w:r>
    </w:p>
    <w:p>
      <w:pPr>
        <w:spacing w:line="360" w:lineRule="auto"/>
        <w:rPr>
          <w:rFonts w:hint="eastAsia" w:ascii="宋体" w:hAnsi="宋体" w:eastAsia="宋体" w:cs="宋体"/>
          <w:highlight w:val="none"/>
        </w:rPr>
      </w:pPr>
      <w:r>
        <w:rPr>
          <w:rFonts w:hint="eastAsia" w:ascii="宋体" w:hAnsi="宋体" w:eastAsia="宋体" w:cs="宋体"/>
          <w:highlight w:val="none"/>
        </w:rPr>
        <w:t>（1）系统支持并发访问用户数量 1000 人左右；</w:t>
      </w:r>
    </w:p>
    <w:p>
      <w:pPr>
        <w:spacing w:line="360" w:lineRule="auto"/>
        <w:rPr>
          <w:rFonts w:hint="eastAsia" w:ascii="宋体" w:hAnsi="宋体" w:eastAsia="宋体" w:cs="宋体"/>
          <w:highlight w:val="none"/>
        </w:rPr>
      </w:pPr>
      <w:r>
        <w:rPr>
          <w:rFonts w:hint="eastAsia" w:ascii="宋体" w:hAnsi="宋体" w:eastAsia="宋体" w:cs="宋体"/>
          <w:highlight w:val="none"/>
        </w:rPr>
        <w:t>（2）响应时间根据功能复杂度不同，控制在0.5s到2s之间；</w:t>
      </w:r>
    </w:p>
    <w:p>
      <w:pPr>
        <w:spacing w:line="360" w:lineRule="auto"/>
        <w:rPr>
          <w:rFonts w:hint="eastAsia" w:ascii="宋体" w:hAnsi="宋体" w:eastAsia="宋体" w:cs="宋体"/>
          <w:highlight w:val="none"/>
        </w:rPr>
      </w:pPr>
      <w:r>
        <w:rPr>
          <w:rFonts w:hint="eastAsia" w:ascii="宋体" w:hAnsi="宋体" w:eastAsia="宋体" w:cs="宋体"/>
          <w:highlight w:val="none"/>
        </w:rPr>
        <w:t>（3）在系统维护期内，问题在 3 个工作日内解决，重要紧急情况 24 小时内解决；</w:t>
      </w:r>
    </w:p>
    <w:p>
      <w:pPr>
        <w:spacing w:line="360" w:lineRule="auto"/>
        <w:rPr>
          <w:rFonts w:hint="eastAsia" w:ascii="宋体" w:hAnsi="宋体" w:eastAsia="宋体" w:cs="宋体"/>
          <w:highlight w:val="none"/>
        </w:rPr>
      </w:pPr>
      <w:r>
        <w:rPr>
          <w:rFonts w:hint="eastAsia" w:ascii="宋体" w:hAnsi="宋体" w:eastAsia="宋体" w:cs="宋体"/>
          <w:highlight w:val="none"/>
        </w:rPr>
        <w:t>（4）页面结构清晰、布局合理、背景恰当美观、主题鲜明；</w:t>
      </w:r>
    </w:p>
    <w:p>
      <w:pPr>
        <w:spacing w:line="360" w:lineRule="auto"/>
        <w:rPr>
          <w:rFonts w:hint="eastAsia" w:ascii="宋体" w:hAnsi="宋体" w:eastAsia="宋体" w:cs="宋体"/>
          <w:highlight w:val="none"/>
        </w:rPr>
      </w:pPr>
      <w:r>
        <w:rPr>
          <w:rFonts w:hint="eastAsia" w:ascii="宋体" w:hAnsi="宋体" w:eastAsia="宋体" w:cs="宋体"/>
          <w:highlight w:val="none"/>
        </w:rPr>
        <w:t>（5）技术框架结构合理、网页浏览顺畅，合理使用 CSS 样式、表单元素种类丰富、色彩合理、布局得体；</w:t>
      </w:r>
    </w:p>
    <w:p>
      <w:pPr>
        <w:spacing w:line="360" w:lineRule="auto"/>
        <w:rPr>
          <w:rFonts w:hint="eastAsia" w:ascii="宋体" w:hAnsi="宋体" w:eastAsia="宋体" w:cs="宋体"/>
          <w:highlight w:val="none"/>
        </w:rPr>
      </w:pPr>
      <w:r>
        <w:rPr>
          <w:rFonts w:hint="eastAsia" w:ascii="宋体" w:hAnsi="宋体" w:eastAsia="宋体" w:cs="宋体"/>
          <w:highlight w:val="none"/>
        </w:rPr>
        <w:t>（6）网站依托安可云部署，满足国产化适配要求，具备安全性、可扩展性、维护方便性和高可用性等。</w:t>
      </w:r>
    </w:p>
    <w:p>
      <w:pPr>
        <w:spacing w:line="360" w:lineRule="auto"/>
        <w:rPr>
          <w:rFonts w:hint="eastAsia" w:ascii="宋体" w:hAnsi="宋体" w:eastAsia="宋体" w:cs="宋体"/>
          <w:highlight w:val="none"/>
        </w:rPr>
      </w:pPr>
      <w:r>
        <w:rPr>
          <w:rFonts w:hint="eastAsia" w:ascii="宋体" w:hAnsi="宋体" w:eastAsia="宋体" w:cs="宋体"/>
          <w:highlight w:val="none"/>
        </w:rPr>
        <w:t>（7）制定系统安全策略、升级应用服务器安全策略、升级数据库软件安全策略、系统日常安全维护。</w:t>
      </w:r>
    </w:p>
    <w:p>
      <w:pPr>
        <w:spacing w:line="360" w:lineRule="auto"/>
        <w:rPr>
          <w:rFonts w:hint="eastAsia" w:ascii="宋体" w:hAnsi="宋体" w:eastAsia="宋体" w:cs="宋体"/>
          <w:highlight w:val="none"/>
        </w:rPr>
      </w:pPr>
      <w:r>
        <w:rPr>
          <w:rFonts w:hint="eastAsia" w:ascii="宋体" w:hAnsi="宋体" w:eastAsia="宋体" w:cs="宋体"/>
          <w:highlight w:val="none"/>
        </w:rPr>
        <w:t>（8）国家重大节假日、甲方重大演练活动以及中心业务需要的重要信息安全保障时间内，协助中心开展需要进行重点安全保障的任务，及时处理各类信息安全事件，确保信息系统安全稳定运行。</w:t>
      </w:r>
    </w:p>
    <w:p>
      <w:pPr>
        <w:spacing w:line="360" w:lineRule="auto"/>
        <w:rPr>
          <w:rFonts w:hint="eastAsia" w:ascii="宋体" w:hAnsi="宋体" w:eastAsia="宋体" w:cs="宋体"/>
          <w:highlight w:val="none"/>
        </w:rPr>
        <w:sectPr>
          <w:pgSz w:w="11907" w:h="16840"/>
          <w:pgMar w:top="1440" w:right="1797" w:bottom="1440" w:left="1797" w:header="851" w:footer="851" w:gutter="0"/>
          <w:cols w:space="720" w:num="1"/>
          <w:titlePg/>
          <w:docGrid w:linePitch="462" w:charSpace="0"/>
        </w:sectPr>
      </w:pPr>
      <w:r>
        <w:rPr>
          <w:rFonts w:hint="eastAsia" w:ascii="宋体" w:hAnsi="宋体" w:eastAsia="宋体" w:cs="宋体"/>
          <w:highlight w:val="none"/>
        </w:rPr>
        <w:t>（9）配合等级保护测评人员准备等级保护测评相关资料，根据初测结果提出整改方案，根据整改方案对业务系统涉及的主机操作系统、中间件、数据库等漏洞进行整改加固。</w:t>
      </w:r>
    </w:p>
    <w:p>
      <w:pPr>
        <w:pStyle w:val="2"/>
        <w:numPr>
          <w:ilvl w:val="0"/>
          <w:numId w:val="0"/>
        </w:numPr>
        <w:spacing w:line="360" w:lineRule="auto"/>
        <w:jc w:val="center"/>
        <w:rPr>
          <w:rFonts w:hint="eastAsia" w:ascii="宋体" w:hAnsi="宋体" w:eastAsia="宋体" w:cs="宋体"/>
          <w:highlight w:val="none"/>
        </w:rPr>
      </w:pPr>
      <w:bookmarkStart w:id="88" w:name="_Toc63415104"/>
      <w:bookmarkStart w:id="89" w:name="_Toc8625"/>
      <w:bookmarkStart w:id="90" w:name="_Toc2043"/>
      <w:bookmarkStart w:id="91" w:name="_Toc24867_WPSOffice_Level1"/>
      <w:r>
        <w:rPr>
          <w:rFonts w:hint="eastAsia" w:ascii="宋体" w:hAnsi="宋体" w:eastAsia="宋体" w:cs="宋体"/>
          <w:highlight w:val="none"/>
          <w:lang w:val="en-US" w:eastAsia="zh-CN"/>
        </w:rPr>
        <w:t xml:space="preserve">第四章 </w:t>
      </w:r>
      <w:r>
        <w:rPr>
          <w:rFonts w:hint="eastAsia" w:ascii="宋体" w:hAnsi="宋体" w:eastAsia="宋体" w:cs="宋体"/>
          <w:highlight w:val="none"/>
        </w:rPr>
        <w:t>响应文件格式</w:t>
      </w:r>
      <w:bookmarkEnd w:id="88"/>
      <w:bookmarkEnd w:id="89"/>
      <w:bookmarkEnd w:id="90"/>
      <w:bookmarkEnd w:id="91"/>
      <w:bookmarkStart w:id="92" w:name="_Toc28967_WPSOffice_Level2"/>
      <w:bookmarkStart w:id="93" w:name="_Toc332809402"/>
    </w:p>
    <w:p>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eastAsia="zh-CN"/>
        </w:rPr>
        <w:t>参选人</w:t>
      </w:r>
      <w:r>
        <w:rPr>
          <w:rFonts w:hint="eastAsia" w:ascii="宋体" w:hAnsi="宋体" w:eastAsia="宋体" w:cs="宋体"/>
          <w:b/>
          <w:sz w:val="24"/>
          <w:szCs w:val="24"/>
          <w:highlight w:val="none"/>
        </w:rPr>
        <w:t>提交文件须知</w:t>
      </w:r>
      <w:bookmarkEnd w:id="92"/>
      <w:bookmarkEnd w:id="93"/>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应当严格按照以下《附件目录》的顺序填写和提交规定的全部格式文件以及其它有关资料。由于响应文件编排混乱导致响应文件被误读或者查找不到有效文件的，后果由供应商承担。</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1.2所附表格中要求回答的全部问题和信息都必须明确填写。</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1.3响应文件应当严格按照文件的要求提交，并按规定的统一格式逐项填写，不准有空项；无相应内容可填的项应当填写“无”、“未测试”、“没有相应指标”等明确的回答文字。</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1.4</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提交的全部格式文件以及其它有关资料应当真实有效、信息准确，否则将视为</w:t>
      </w:r>
      <w:r>
        <w:rPr>
          <w:rFonts w:hint="eastAsia" w:ascii="宋体" w:hAnsi="宋体" w:eastAsia="宋体" w:cs="宋体"/>
          <w:sz w:val="24"/>
          <w:highlight w:val="none"/>
          <w:u w:val="single"/>
        </w:rPr>
        <w:t>无效</w:t>
      </w:r>
      <w:r>
        <w:rPr>
          <w:rFonts w:hint="eastAsia" w:ascii="宋体" w:hAnsi="宋体" w:eastAsia="宋体" w:cs="宋体"/>
          <w:sz w:val="24"/>
          <w:highlight w:val="none"/>
        </w:rPr>
        <w:t>。</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提交的全部格式文件以及其它有关资料应当按</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文件的有关规定签字、盖章，否则将视为</w:t>
      </w:r>
      <w:r>
        <w:rPr>
          <w:rFonts w:hint="eastAsia" w:ascii="宋体" w:hAnsi="宋体" w:eastAsia="宋体" w:cs="宋体"/>
          <w:sz w:val="24"/>
          <w:highlight w:val="none"/>
          <w:u w:val="single"/>
        </w:rPr>
        <w:t>无效</w:t>
      </w:r>
      <w:r>
        <w:rPr>
          <w:rFonts w:hint="eastAsia" w:ascii="宋体" w:hAnsi="宋体" w:eastAsia="宋体" w:cs="宋体"/>
          <w:sz w:val="24"/>
          <w:highlight w:val="none"/>
        </w:rPr>
        <w:t>。</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1.6</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小组将依据</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提交的资料，审查</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履行合同的能力。</w:t>
      </w:r>
    </w:p>
    <w:p>
      <w:pPr>
        <w:spacing w:line="360" w:lineRule="auto"/>
        <w:jc w:val="left"/>
        <w:textAlignment w:val="baseline"/>
        <w:rPr>
          <w:rFonts w:hint="eastAsia" w:ascii="宋体" w:hAnsi="宋体" w:eastAsia="宋体" w:cs="宋体"/>
          <w:highlight w:val="none"/>
        </w:rPr>
      </w:pPr>
      <w:r>
        <w:rPr>
          <w:rFonts w:hint="eastAsia" w:ascii="宋体" w:hAnsi="宋体" w:eastAsia="宋体" w:cs="宋体"/>
          <w:sz w:val="24"/>
          <w:highlight w:val="none"/>
        </w:rPr>
        <w:t>1.7</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提交的材料将被保密保存，概不退还。</w:t>
      </w:r>
    </w:p>
    <w:p>
      <w:pPr>
        <w:spacing w:line="360" w:lineRule="auto"/>
        <w:jc w:val="left"/>
        <w:rPr>
          <w:rFonts w:hint="eastAsia" w:ascii="宋体" w:hAnsi="宋体" w:eastAsia="宋体" w:cs="宋体"/>
          <w:bCs/>
          <w:sz w:val="24"/>
          <w:szCs w:val="24"/>
          <w:highlight w:val="none"/>
        </w:rPr>
      </w:pPr>
      <w:bookmarkStart w:id="94" w:name="_Toc28162_WPSOffice_Level2"/>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附件目录</w:t>
      </w:r>
      <w:bookmarkEnd w:id="94"/>
    </w:p>
    <w:p>
      <w:pPr>
        <w:spacing w:line="360" w:lineRule="auto"/>
        <w:jc w:val="left"/>
        <w:rPr>
          <w:rFonts w:hint="eastAsia" w:ascii="宋体" w:hAnsi="宋体" w:eastAsia="宋体" w:cs="宋体"/>
          <w:bCs/>
          <w:sz w:val="24"/>
          <w:szCs w:val="24"/>
          <w:highlight w:val="none"/>
        </w:rPr>
      </w:pPr>
      <w:bookmarkStart w:id="95" w:name="_Toc28057_WPSOffice_Level2"/>
      <w:r>
        <w:rPr>
          <w:rFonts w:hint="eastAsia" w:ascii="宋体" w:hAnsi="宋体" w:eastAsia="宋体" w:cs="宋体"/>
          <w:bCs/>
          <w:sz w:val="24"/>
          <w:szCs w:val="24"/>
          <w:highlight w:val="none"/>
        </w:rPr>
        <w:t>附件1——响应书（格式）</w:t>
      </w:r>
      <w:bookmarkEnd w:id="95"/>
    </w:p>
    <w:p>
      <w:pPr>
        <w:spacing w:line="360" w:lineRule="auto"/>
        <w:jc w:val="left"/>
        <w:rPr>
          <w:rFonts w:hint="eastAsia" w:ascii="宋体" w:hAnsi="宋体" w:eastAsia="宋体" w:cs="宋体"/>
          <w:bCs/>
          <w:sz w:val="24"/>
          <w:szCs w:val="24"/>
          <w:highlight w:val="none"/>
        </w:rPr>
      </w:pPr>
      <w:bookmarkStart w:id="96" w:name="_Toc653_WPSOffice_Level2"/>
      <w:r>
        <w:rPr>
          <w:rFonts w:hint="eastAsia" w:ascii="宋体" w:hAnsi="宋体" w:eastAsia="宋体" w:cs="宋体"/>
          <w:bCs/>
          <w:sz w:val="24"/>
          <w:szCs w:val="24"/>
          <w:highlight w:val="none"/>
        </w:rPr>
        <w:t>附件2——报价一览表（格式）</w:t>
      </w:r>
      <w:bookmarkEnd w:id="96"/>
    </w:p>
    <w:p>
      <w:pPr>
        <w:spacing w:line="360" w:lineRule="auto"/>
        <w:jc w:val="left"/>
        <w:rPr>
          <w:rFonts w:hint="eastAsia" w:ascii="宋体" w:hAnsi="宋体" w:eastAsia="宋体" w:cs="宋体"/>
          <w:bCs/>
          <w:sz w:val="24"/>
          <w:szCs w:val="24"/>
          <w:highlight w:val="none"/>
        </w:rPr>
      </w:pPr>
      <w:bookmarkStart w:id="97" w:name="_Toc26104_WPSOffice_Level2"/>
      <w:r>
        <w:rPr>
          <w:rFonts w:hint="eastAsia" w:ascii="宋体" w:hAnsi="宋体" w:eastAsia="宋体" w:cs="宋体"/>
          <w:bCs/>
          <w:sz w:val="24"/>
          <w:szCs w:val="24"/>
          <w:highlight w:val="none"/>
        </w:rPr>
        <w:t>附件3——分项报价说明表（格式）</w:t>
      </w:r>
      <w:bookmarkEnd w:id="97"/>
    </w:p>
    <w:p>
      <w:pPr>
        <w:spacing w:line="360" w:lineRule="auto"/>
        <w:jc w:val="left"/>
        <w:rPr>
          <w:rFonts w:hint="eastAsia" w:ascii="宋体" w:hAnsi="宋体" w:eastAsia="宋体" w:cs="宋体"/>
          <w:bCs/>
          <w:sz w:val="24"/>
          <w:szCs w:val="24"/>
          <w:highlight w:val="none"/>
        </w:rPr>
      </w:pPr>
      <w:bookmarkStart w:id="98" w:name="_Toc18868_WPSOffice_Level2"/>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——资格证明文件</w:t>
      </w:r>
      <w:bookmarkEnd w:id="98"/>
    </w:p>
    <w:p>
      <w:pPr>
        <w:spacing w:line="360" w:lineRule="auto"/>
        <w:ind w:firstLine="480" w:firstLineChars="200"/>
        <w:jc w:val="left"/>
        <w:rPr>
          <w:rFonts w:hint="eastAsia" w:ascii="宋体" w:hAnsi="宋体" w:eastAsia="宋体" w:cs="宋体"/>
          <w:bCs/>
          <w:sz w:val="24"/>
          <w:szCs w:val="24"/>
          <w:highlight w:val="none"/>
        </w:rPr>
      </w:pPr>
      <w:bookmarkStart w:id="99" w:name="_Toc26151_WPSOffice_Level3"/>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-1 法人营业执照副本</w:t>
      </w:r>
      <w:bookmarkEnd w:id="99"/>
    </w:p>
    <w:p>
      <w:pPr>
        <w:spacing w:line="360" w:lineRule="auto"/>
        <w:ind w:firstLine="480" w:firstLineChars="200"/>
        <w:jc w:val="left"/>
        <w:rPr>
          <w:rFonts w:hint="eastAsia" w:ascii="宋体" w:hAnsi="宋体" w:eastAsia="宋体" w:cs="宋体"/>
          <w:bCs/>
          <w:sz w:val="24"/>
          <w:szCs w:val="24"/>
          <w:highlight w:val="none"/>
        </w:rPr>
      </w:pPr>
      <w:bookmarkStart w:id="100" w:name="_Toc357_WPSOffice_Level3"/>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-2法定代表人的授权委托书（格式）</w:t>
      </w:r>
      <w:bookmarkEnd w:id="100"/>
    </w:p>
    <w:p>
      <w:pPr>
        <w:spacing w:line="360" w:lineRule="auto"/>
        <w:ind w:firstLine="480" w:firstLineChars="200"/>
        <w:jc w:val="left"/>
        <w:rPr>
          <w:rFonts w:hint="eastAsia" w:ascii="宋体" w:hAnsi="宋体" w:eastAsia="宋体" w:cs="宋体"/>
          <w:bCs/>
          <w:sz w:val="24"/>
          <w:szCs w:val="24"/>
          <w:highlight w:val="none"/>
        </w:rPr>
      </w:pPr>
      <w:bookmarkStart w:id="101" w:name="_Toc19685_WPSOffice_Level3"/>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 xml:space="preserve"> </w:t>
      </w:r>
      <w:bookmarkEnd w:id="101"/>
      <w:r>
        <w:rPr>
          <w:rFonts w:hint="eastAsia" w:ascii="宋体" w:hAnsi="宋体" w:eastAsia="宋体" w:cs="宋体"/>
          <w:bCs/>
          <w:sz w:val="24"/>
          <w:szCs w:val="24"/>
          <w:highlight w:val="none"/>
        </w:rPr>
        <w:t>供应商财务状况证明文件</w:t>
      </w:r>
    </w:p>
    <w:p>
      <w:pPr>
        <w:spacing w:line="360" w:lineRule="auto"/>
        <w:ind w:firstLine="480" w:firstLineChars="200"/>
        <w:jc w:val="left"/>
        <w:rPr>
          <w:rFonts w:hint="eastAsia" w:ascii="宋体" w:hAnsi="宋体" w:eastAsia="宋体" w:cs="宋体"/>
          <w:bCs/>
          <w:sz w:val="24"/>
          <w:szCs w:val="24"/>
          <w:highlight w:val="none"/>
        </w:rPr>
      </w:pPr>
      <w:bookmarkStart w:id="102" w:name="_Toc17313_WPSOffice_Level3"/>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 xml:space="preserve"> 社会保障资金缴纳记录证明文件</w:t>
      </w:r>
      <w:bookmarkEnd w:id="102"/>
    </w:p>
    <w:p>
      <w:pPr>
        <w:spacing w:line="360" w:lineRule="auto"/>
        <w:ind w:firstLine="480" w:firstLineChars="200"/>
        <w:jc w:val="left"/>
        <w:rPr>
          <w:rFonts w:hint="eastAsia" w:ascii="宋体" w:hAnsi="宋体" w:eastAsia="宋体" w:cs="宋体"/>
          <w:bCs/>
          <w:sz w:val="24"/>
          <w:szCs w:val="24"/>
          <w:highlight w:val="none"/>
        </w:rPr>
      </w:pPr>
      <w:bookmarkStart w:id="103" w:name="_Toc24711_WPSOffice_Level3"/>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 xml:space="preserve"> 依法缴纳税收记录证明文件</w:t>
      </w:r>
      <w:bookmarkEnd w:id="103"/>
    </w:p>
    <w:p>
      <w:pPr>
        <w:spacing w:line="360" w:lineRule="auto"/>
        <w:ind w:firstLine="480" w:firstLineChars="200"/>
        <w:jc w:val="left"/>
        <w:rPr>
          <w:rFonts w:hint="eastAsia" w:ascii="宋体" w:hAnsi="宋体" w:eastAsia="宋体" w:cs="宋体"/>
          <w:bCs/>
          <w:sz w:val="24"/>
          <w:szCs w:val="24"/>
          <w:highlight w:val="none"/>
        </w:rPr>
      </w:pPr>
      <w:bookmarkStart w:id="104" w:name="_Toc886_WPSOffice_Level3"/>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参加本次采购活动前三年内，在经营活动中没有违法记录的书面声明</w:t>
      </w:r>
      <w:bookmarkEnd w:id="104"/>
    </w:p>
    <w:p>
      <w:pPr>
        <w:tabs>
          <w:tab w:val="left" w:pos="5580"/>
        </w:tabs>
        <w:spacing w:line="360" w:lineRule="auto"/>
        <w:ind w:firstLine="480" w:firstLineChars="200"/>
        <w:jc w:val="left"/>
        <w:rPr>
          <w:rFonts w:hint="eastAsia" w:ascii="宋体" w:hAnsi="宋体" w:eastAsia="宋体" w:cs="宋体"/>
          <w:sz w:val="24"/>
          <w:szCs w:val="24"/>
          <w:highlight w:val="none"/>
        </w:rPr>
      </w:pPr>
      <w:bookmarkStart w:id="105" w:name="_Toc30456_WPSOffice_Level3"/>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供应商无关联关系书面承诺函</w:t>
      </w:r>
      <w:bookmarkEnd w:id="105"/>
    </w:p>
    <w:p>
      <w:pPr>
        <w:spacing w:line="360" w:lineRule="auto"/>
        <w:ind w:firstLine="480" w:firstLineChars="200"/>
        <w:jc w:val="left"/>
        <w:rPr>
          <w:rFonts w:hint="eastAsia" w:ascii="宋体" w:hAnsi="宋体" w:eastAsia="宋体" w:cs="宋体"/>
          <w:sz w:val="24"/>
          <w:szCs w:val="24"/>
          <w:highlight w:val="none"/>
        </w:rPr>
      </w:pPr>
      <w:bookmarkStart w:id="106" w:name="_Toc12574_WPSOffice_Level3"/>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文件要求的其他资格证明文件</w:t>
      </w:r>
      <w:bookmarkEnd w:id="106"/>
    </w:p>
    <w:p>
      <w:pPr>
        <w:spacing w:line="360" w:lineRule="auto"/>
        <w:jc w:val="left"/>
        <w:rPr>
          <w:rFonts w:hint="eastAsia" w:ascii="宋体" w:hAnsi="宋体" w:eastAsia="宋体" w:cs="宋体"/>
          <w:sz w:val="24"/>
          <w:highlight w:val="none"/>
        </w:rPr>
      </w:pPr>
      <w:bookmarkStart w:id="107" w:name="_Toc3560_WPSOffice_Level2"/>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——业绩案例一览表</w:t>
      </w:r>
    </w:p>
    <w:p>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val="en-US" w:eastAsia="zh-CN"/>
        </w:rPr>
        <w:t>7服务方案等</w:t>
      </w:r>
      <w:r>
        <w:rPr>
          <w:rFonts w:hint="eastAsia" w:ascii="宋体" w:hAnsi="宋体" w:eastAsia="宋体" w:cs="宋体"/>
          <w:sz w:val="24"/>
          <w:szCs w:val="24"/>
          <w:highlight w:val="none"/>
        </w:rPr>
        <w:t>其他资料</w:t>
      </w:r>
      <w:bookmarkEnd w:id="107"/>
    </w:p>
    <w:p>
      <w:pPr>
        <w:spacing w:line="360" w:lineRule="auto"/>
        <w:jc w:val="left"/>
        <w:rPr>
          <w:rFonts w:hint="eastAsia" w:ascii="宋体" w:hAnsi="宋体" w:eastAsia="宋体" w:cs="宋体"/>
          <w:b/>
          <w:sz w:val="24"/>
          <w:highlight w:val="none"/>
        </w:rPr>
      </w:pPr>
      <w:bookmarkStart w:id="108" w:name="_Toc332809404"/>
    </w:p>
    <w:p>
      <w:pPr>
        <w:spacing w:line="360" w:lineRule="auto"/>
        <w:jc w:val="left"/>
        <w:rPr>
          <w:rFonts w:hint="eastAsia" w:ascii="宋体" w:hAnsi="宋体" w:eastAsia="宋体" w:cs="宋体"/>
          <w:b/>
          <w:sz w:val="24"/>
          <w:highlight w:val="none"/>
        </w:rPr>
      </w:pPr>
    </w:p>
    <w:p>
      <w:pPr>
        <w:spacing w:line="360" w:lineRule="auto"/>
        <w:jc w:val="center"/>
        <w:rPr>
          <w:rFonts w:hint="eastAsia" w:ascii="宋体" w:hAnsi="宋体" w:eastAsia="宋体" w:cs="宋体"/>
          <w:b/>
          <w:sz w:val="32"/>
          <w:szCs w:val="32"/>
          <w:highlight w:val="none"/>
        </w:rPr>
      </w:pPr>
      <w:bookmarkStart w:id="109" w:name="_Toc14437_WPSOffice_Level2"/>
      <w:r>
        <w:rPr>
          <w:rFonts w:hint="eastAsia" w:ascii="宋体" w:hAnsi="宋体" w:eastAsia="宋体" w:cs="宋体"/>
          <w:b/>
          <w:sz w:val="24"/>
          <w:highlight w:val="none"/>
        </w:rPr>
        <w:t>附件1 响应书（格式）</w:t>
      </w:r>
      <w:bookmarkEnd w:id="108"/>
      <w:bookmarkEnd w:id="109"/>
    </w:p>
    <w:p>
      <w:pPr>
        <w:tabs>
          <w:tab w:val="left" w:pos="5580"/>
        </w:tabs>
        <w:spacing w:line="360" w:lineRule="auto"/>
        <w:jc w:val="left"/>
        <w:rPr>
          <w:rFonts w:hint="eastAsia" w:ascii="宋体" w:hAnsi="宋体" w:eastAsia="宋体" w:cs="宋体"/>
          <w:sz w:val="24"/>
          <w:highlight w:val="none"/>
        </w:rPr>
      </w:pPr>
    </w:p>
    <w:p>
      <w:pPr>
        <w:tabs>
          <w:tab w:val="left" w:pos="5580"/>
        </w:tabs>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致：北京</w:t>
      </w:r>
      <w:r>
        <w:rPr>
          <w:rFonts w:hint="eastAsia" w:ascii="宋体" w:hAnsi="宋体" w:eastAsia="宋体" w:cs="宋体"/>
          <w:sz w:val="24"/>
          <w:highlight w:val="none"/>
          <w:lang w:eastAsia="zh-CN"/>
        </w:rPr>
        <w:t>急救中心</w:t>
      </w:r>
    </w:p>
    <w:p>
      <w:pPr>
        <w:tabs>
          <w:tab w:val="left" w:pos="5580"/>
        </w:tabs>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根据贵方为(</w:t>
      </w:r>
      <w:r>
        <w:rPr>
          <w:rFonts w:hint="eastAsia" w:ascii="宋体" w:hAnsi="宋体" w:eastAsia="宋体" w:cs="宋体"/>
          <w:sz w:val="24"/>
          <w:highlight w:val="none"/>
          <w:u w:val="single"/>
        </w:rPr>
        <w:t>项目名称、包名称</w:t>
      </w:r>
      <w:r>
        <w:rPr>
          <w:rFonts w:hint="eastAsia" w:ascii="宋体" w:hAnsi="宋体" w:eastAsia="宋体" w:cs="宋体"/>
          <w:sz w:val="24"/>
          <w:highlight w:val="none"/>
        </w:rPr>
        <w:t>)项目的邀请,签字代表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)经正式授权并代表供应商（</w:t>
      </w:r>
      <w:r>
        <w:rPr>
          <w:rFonts w:hint="eastAsia" w:ascii="宋体" w:hAnsi="宋体" w:eastAsia="宋体" w:cs="宋体"/>
          <w:sz w:val="24"/>
          <w:highlight w:val="none"/>
          <w:u w:val="single"/>
        </w:rPr>
        <w:t>企业名称、地址</w:t>
      </w:r>
      <w:r>
        <w:rPr>
          <w:rFonts w:hint="eastAsia" w:ascii="宋体" w:hAnsi="宋体" w:eastAsia="宋体" w:cs="宋体"/>
          <w:sz w:val="24"/>
          <w:highlight w:val="none"/>
        </w:rPr>
        <w:t>）提交下述文件正本</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份及副本</w:t>
      </w:r>
      <w:r>
        <w:rPr>
          <w:rFonts w:hint="eastAsia" w:ascii="宋体" w:hAnsi="宋体" w:eastAsia="宋体" w:cs="宋体"/>
          <w:sz w:val="24"/>
          <w:highlight w:val="none"/>
          <w:u w:val="single"/>
          <w:lang w:val="en-US" w:eastAsia="zh-CN"/>
        </w:rPr>
        <w:t>2</w:t>
      </w:r>
      <w:r>
        <w:rPr>
          <w:rFonts w:hint="eastAsia" w:ascii="宋体" w:hAnsi="宋体" w:eastAsia="宋体" w:cs="宋体"/>
          <w:sz w:val="24"/>
          <w:highlight w:val="none"/>
        </w:rPr>
        <w:t>份</w:t>
      </w:r>
      <w:r>
        <w:rPr>
          <w:rFonts w:hint="eastAsia" w:ascii="宋体" w:hAnsi="宋体" w:eastAsia="宋体" w:cs="宋体"/>
          <w:sz w:val="24"/>
          <w:highlight w:val="none"/>
          <w:lang w:eastAsia="zh-CN"/>
        </w:rPr>
        <w:t>：</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1、报价一览表</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2、分项报价说明表</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、资格证明文件（附件  -附件  ）</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、遵守国家有关法律、法规和规章，按</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文件中</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须知和技术规格要求提供的有关文件。</w:t>
      </w:r>
    </w:p>
    <w:p>
      <w:pPr>
        <w:pStyle w:val="15"/>
        <w:tabs>
          <w:tab w:val="left" w:pos="5460"/>
        </w:tabs>
        <w:spacing w:line="360" w:lineRule="auto"/>
        <w:jc w:val="left"/>
        <w:rPr>
          <w:rFonts w:hint="eastAsia" w:ascii="宋体" w:hAnsi="宋体" w:eastAsia="宋体" w:cs="宋体"/>
          <w:sz w:val="24"/>
          <w:szCs w:val="24"/>
          <w:highlight w:val="none"/>
          <w:u w:val="single"/>
        </w:rPr>
        <w:sectPr>
          <w:pgSz w:w="11907" w:h="16840"/>
          <w:pgMar w:top="1440" w:right="1797" w:bottom="1440" w:left="1797" w:header="851" w:footer="851" w:gutter="0"/>
          <w:cols w:space="720" w:num="1"/>
          <w:titlePg/>
          <w:docGrid w:linePitch="462" w:charSpace="0"/>
        </w:sectPr>
      </w:pPr>
    </w:p>
    <w:p>
      <w:pPr>
        <w:spacing w:line="360" w:lineRule="auto"/>
        <w:jc w:val="center"/>
        <w:rPr>
          <w:rFonts w:hint="eastAsia" w:ascii="宋体" w:hAnsi="宋体" w:eastAsia="宋体" w:cs="宋体"/>
          <w:b/>
          <w:sz w:val="24"/>
          <w:highlight w:val="none"/>
        </w:rPr>
      </w:pPr>
      <w:bookmarkStart w:id="110" w:name="_Toc332809405"/>
      <w:bookmarkStart w:id="111" w:name="_Toc2158_WPSOffice_Level2"/>
      <w:r>
        <w:rPr>
          <w:rFonts w:hint="eastAsia" w:ascii="宋体" w:hAnsi="宋体" w:eastAsia="宋体" w:cs="宋体"/>
          <w:b/>
          <w:sz w:val="24"/>
          <w:highlight w:val="none"/>
        </w:rPr>
        <w:t>附件2</w:t>
      </w:r>
      <w:bookmarkStart w:id="112" w:name="_Hlt520356043"/>
      <w:bookmarkEnd w:id="112"/>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报价一览表</w:t>
      </w:r>
      <w:bookmarkEnd w:id="110"/>
      <w:bookmarkEnd w:id="111"/>
      <w:r>
        <w:rPr>
          <w:rFonts w:hint="eastAsia" w:ascii="宋体" w:hAnsi="宋体" w:eastAsia="宋体" w:cs="宋体"/>
          <w:b/>
          <w:sz w:val="24"/>
          <w:highlight w:val="none"/>
        </w:rPr>
        <w:cr/>
      </w:r>
    </w:p>
    <w:p>
      <w:pPr>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_      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_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53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名称</w:t>
            </w:r>
          </w:p>
        </w:tc>
        <w:tc>
          <w:tcPr>
            <w:tcW w:w="3827" w:type="dxa"/>
            <w:tcBorders>
              <w:top w:val="single" w:color="auto" w:sz="4" w:space="0"/>
              <w:left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p>
        </w:tc>
      </w:tr>
    </w:tbl>
    <w:p>
      <w:pPr>
        <w:autoSpaceDE w:val="0"/>
        <w:autoSpaceDN w:val="0"/>
        <w:spacing w:line="360" w:lineRule="auto"/>
        <w:jc w:val="left"/>
        <w:textAlignment w:val="bottom"/>
        <w:rPr>
          <w:rFonts w:hint="eastAsia" w:ascii="宋体" w:hAnsi="宋体" w:eastAsia="宋体" w:cs="宋体"/>
          <w:sz w:val="24"/>
          <w:highlight w:val="none"/>
        </w:rPr>
      </w:pPr>
    </w:p>
    <w:p>
      <w:pPr>
        <w:autoSpaceDE w:val="0"/>
        <w:autoSpaceDN w:val="0"/>
        <w:spacing w:line="360" w:lineRule="auto"/>
        <w:ind w:firstLine="360" w:firstLineChars="150"/>
        <w:jc w:val="left"/>
        <w:textAlignment w:val="bottom"/>
        <w:rPr>
          <w:rFonts w:hint="eastAsia" w:ascii="宋体" w:hAnsi="宋体" w:eastAsia="宋体" w:cs="宋体"/>
          <w:sz w:val="24"/>
          <w:highlight w:val="none"/>
        </w:rPr>
      </w:pPr>
    </w:p>
    <w:p>
      <w:pPr>
        <w:autoSpaceDE w:val="0"/>
        <w:autoSpaceDN w:val="0"/>
        <w:spacing w:line="360" w:lineRule="auto"/>
        <w:ind w:firstLine="360" w:firstLineChars="150"/>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授权代表签字：</w:t>
      </w:r>
      <w:r>
        <w:rPr>
          <w:rFonts w:hint="eastAsia" w:ascii="宋体" w:hAnsi="宋体" w:eastAsia="宋体" w:cs="宋体"/>
          <w:sz w:val="24"/>
          <w:highlight w:val="non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p>
    <w:p>
      <w:pPr>
        <w:autoSpaceDE w:val="0"/>
        <w:autoSpaceDN w:val="0"/>
        <w:spacing w:line="360" w:lineRule="auto"/>
        <w:ind w:firstLine="360" w:firstLineChars="150"/>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 xml:space="preserve">(盖章): </w:t>
      </w:r>
      <w:r>
        <w:rPr>
          <w:rFonts w:hint="eastAsia" w:ascii="宋体" w:hAnsi="宋体" w:eastAsia="宋体" w:cs="宋体"/>
          <w:sz w:val="24"/>
          <w:highlight w:val="non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pPr>
        <w:pStyle w:val="8"/>
        <w:tabs>
          <w:tab w:val="left" w:pos="5580"/>
        </w:tabs>
        <w:spacing w:line="360" w:lineRule="auto"/>
        <w:ind w:firstLine="0" w:firstLineChars="0"/>
        <w:jc w:val="left"/>
        <w:rPr>
          <w:rFonts w:hint="eastAsia" w:ascii="宋体" w:hAnsi="宋体" w:eastAsia="宋体" w:cs="宋体"/>
          <w:highlight w:val="none"/>
        </w:rPr>
      </w:pPr>
    </w:p>
    <w:p>
      <w:pPr>
        <w:pStyle w:val="15"/>
        <w:tabs>
          <w:tab w:val="left" w:pos="5460"/>
        </w:tabs>
        <w:spacing w:line="360" w:lineRule="auto"/>
        <w:jc w:val="left"/>
        <w:rPr>
          <w:rFonts w:hint="eastAsia" w:ascii="宋体" w:hAnsi="宋体" w:eastAsia="宋体" w:cs="宋体"/>
          <w:sz w:val="24"/>
          <w:szCs w:val="24"/>
          <w:highlight w:val="none"/>
          <w:u w:val="single"/>
        </w:rPr>
        <w:sectPr>
          <w:pgSz w:w="11907" w:h="16840"/>
          <w:pgMar w:top="1440" w:right="1440" w:bottom="1440" w:left="1440" w:header="851" w:footer="851" w:gutter="0"/>
          <w:cols w:space="720" w:num="1"/>
          <w:titlePg/>
          <w:docGrid w:linePitch="462" w:charSpace="0"/>
        </w:sectPr>
      </w:pPr>
    </w:p>
    <w:p>
      <w:pPr>
        <w:spacing w:line="360" w:lineRule="auto"/>
        <w:jc w:val="center"/>
        <w:rPr>
          <w:rFonts w:hint="eastAsia" w:ascii="宋体" w:hAnsi="宋体" w:eastAsia="宋体" w:cs="宋体"/>
          <w:b/>
          <w:sz w:val="24"/>
          <w:highlight w:val="none"/>
        </w:rPr>
      </w:pPr>
      <w:bookmarkStart w:id="113" w:name="_Toc28743_WPSOffice_Level2"/>
      <w:bookmarkStart w:id="114" w:name="_Toc332809406"/>
      <w:r>
        <w:rPr>
          <w:rFonts w:hint="eastAsia" w:ascii="宋体" w:hAnsi="宋体" w:eastAsia="宋体" w:cs="宋体"/>
          <w:b/>
          <w:sz w:val="24"/>
          <w:highlight w:val="none"/>
        </w:rPr>
        <w:t>附件3</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分项报价说明表</w:t>
      </w:r>
      <w:bookmarkEnd w:id="113"/>
      <w:bookmarkEnd w:id="114"/>
    </w:p>
    <w:p>
      <w:pPr>
        <w:autoSpaceDE w:val="0"/>
        <w:autoSpaceDN w:val="0"/>
        <w:spacing w:line="360" w:lineRule="auto"/>
        <w:jc w:val="left"/>
        <w:textAlignment w:val="bottom"/>
        <w:rPr>
          <w:rFonts w:hint="eastAsia" w:ascii="宋体" w:hAnsi="宋体" w:eastAsia="宋体" w:cs="宋体"/>
          <w:sz w:val="24"/>
          <w:highlight w:val="none"/>
        </w:rPr>
      </w:pPr>
    </w:p>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bl>
      <w:tblPr>
        <w:tblStyle w:val="33"/>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42"/>
        <w:gridCol w:w="1464"/>
        <w:gridCol w:w="19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5"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序号</w:t>
            </w:r>
          </w:p>
        </w:tc>
        <w:tc>
          <w:tcPr>
            <w:tcW w:w="3342"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服务名称</w:t>
            </w:r>
          </w:p>
        </w:tc>
        <w:tc>
          <w:tcPr>
            <w:tcW w:w="1464"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单价</w:t>
            </w:r>
          </w:p>
        </w:tc>
        <w:tc>
          <w:tcPr>
            <w:tcW w:w="1920"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总价</w:t>
            </w:r>
          </w:p>
        </w:tc>
        <w:tc>
          <w:tcPr>
            <w:tcW w:w="1500"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总价</w:t>
            </w: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bl>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授权代表签字：</w:t>
      </w:r>
      <w:r>
        <w:rPr>
          <w:rFonts w:hint="eastAsia" w:ascii="宋体" w:hAnsi="宋体" w:eastAsia="宋体" w:cs="宋体"/>
          <w:sz w:val="24"/>
          <w:highlight w:val="none"/>
          <w:u w:val="single"/>
        </w:rPr>
        <w:t xml:space="preserve">              </w:t>
      </w:r>
    </w:p>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盖章):：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_   </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注：1、报价采用人民币表示；</w:t>
      </w:r>
    </w:p>
    <w:p>
      <w:pPr>
        <w:autoSpaceDE w:val="0"/>
        <w:autoSpaceDN w:val="0"/>
        <w:spacing w:line="360" w:lineRule="auto"/>
        <w:ind w:firstLine="480" w:firstLineChars="200"/>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2、总价应当包括如果被授予合同方将要缴纳的关税、包括增值税在内的销售税和其它税；</w:t>
      </w:r>
    </w:p>
    <w:p>
      <w:pPr>
        <w:autoSpaceDE w:val="0"/>
        <w:autoSpaceDN w:val="0"/>
        <w:spacing w:line="360" w:lineRule="auto"/>
        <w:ind w:firstLine="480" w:firstLineChars="200"/>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3、分项报价应当详细至任何可以拆分的单元；</w:t>
      </w:r>
    </w:p>
    <w:p>
      <w:pPr>
        <w:autoSpaceDE w:val="0"/>
        <w:autoSpaceDN w:val="0"/>
        <w:spacing w:line="360" w:lineRule="auto"/>
        <w:ind w:firstLine="480" w:firstLineChars="200"/>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4、如果单价与总价不符时，以单价为准；</w:t>
      </w:r>
    </w:p>
    <w:p>
      <w:pPr>
        <w:spacing w:line="360" w:lineRule="auto"/>
        <w:jc w:val="left"/>
        <w:rPr>
          <w:rFonts w:hint="eastAsia" w:ascii="宋体" w:hAnsi="宋体" w:eastAsia="宋体" w:cs="宋体"/>
          <w:sz w:val="24"/>
          <w:highlight w:val="none"/>
        </w:rPr>
        <w:sectPr>
          <w:pgSz w:w="11906" w:h="16838"/>
          <w:pgMar w:top="1418" w:right="1418" w:bottom="1418" w:left="1418" w:header="851" w:footer="992" w:gutter="0"/>
          <w:cols w:space="425" w:num="1"/>
          <w:docGrid w:type="linesAndChars" w:linePitch="312" w:charSpace="0"/>
        </w:sectPr>
      </w:pPr>
    </w:p>
    <w:p>
      <w:pPr>
        <w:spacing w:line="360" w:lineRule="auto"/>
        <w:jc w:val="center"/>
        <w:rPr>
          <w:rFonts w:hint="eastAsia" w:ascii="宋体" w:hAnsi="宋体" w:eastAsia="宋体" w:cs="宋体"/>
          <w:sz w:val="24"/>
          <w:highlight w:val="none"/>
        </w:rPr>
      </w:pPr>
      <w:bookmarkStart w:id="115" w:name="_Toc332809409"/>
      <w:bookmarkStart w:id="116" w:name="_Toc1616_WPSOffice_Level2"/>
      <w:r>
        <w:rPr>
          <w:rFonts w:hint="eastAsia" w:ascii="宋体" w:hAnsi="宋体" w:eastAsia="宋体" w:cs="宋体"/>
          <w:b/>
          <w:sz w:val="24"/>
          <w:highlight w:val="none"/>
        </w:rPr>
        <w:t>附件</w:t>
      </w:r>
      <w:bookmarkEnd w:id="115"/>
      <w:bookmarkStart w:id="117" w:name="_Toc332809410"/>
      <w:r>
        <w:rPr>
          <w:rFonts w:hint="eastAsia" w:ascii="宋体" w:hAnsi="宋体" w:eastAsia="宋体" w:cs="宋体"/>
          <w:b/>
          <w:sz w:val="24"/>
          <w:highlight w:val="none"/>
          <w:lang w:val="en-US" w:eastAsia="zh-CN"/>
        </w:rPr>
        <w:t xml:space="preserve">4 </w:t>
      </w:r>
      <w:r>
        <w:rPr>
          <w:rFonts w:hint="eastAsia" w:ascii="宋体" w:hAnsi="宋体" w:eastAsia="宋体" w:cs="宋体"/>
          <w:b/>
          <w:sz w:val="24"/>
          <w:highlight w:val="none"/>
        </w:rPr>
        <w:t>资格证明文件（格式）</w:t>
      </w:r>
      <w:bookmarkEnd w:id="117"/>
      <w:r>
        <w:rPr>
          <w:rFonts w:hint="eastAsia" w:ascii="宋体" w:hAnsi="宋体" w:eastAsia="宋体" w:cs="宋体"/>
          <w:b/>
          <w:sz w:val="24"/>
          <w:highlight w:val="none"/>
        </w:rPr>
        <w:cr/>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法人营业执照副本</w:t>
      </w:r>
      <w:bookmarkEnd w:id="116"/>
    </w:p>
    <w:p>
      <w:pPr>
        <w:tabs>
          <w:tab w:val="left" w:pos="5580"/>
        </w:tabs>
        <w:spacing w:line="360" w:lineRule="auto"/>
        <w:jc w:val="center"/>
        <w:rPr>
          <w:rFonts w:hint="eastAsia" w:ascii="宋体" w:hAnsi="宋体" w:eastAsia="宋体" w:cs="宋体"/>
          <w:sz w:val="24"/>
          <w:highlight w:val="none"/>
        </w:rPr>
      </w:pPr>
      <w:bookmarkStart w:id="118" w:name="_Toc32050_WPSOffice_Level3"/>
      <w:r>
        <w:rPr>
          <w:rFonts w:hint="eastAsia" w:ascii="宋体" w:hAnsi="宋体" w:eastAsia="宋体" w:cs="宋体"/>
          <w:sz w:val="24"/>
          <w:highlight w:val="none"/>
          <w:lang w:val="en-US" w:eastAsia="zh-CN"/>
        </w:rPr>
        <w:t>4</w:t>
      </w:r>
      <w:r>
        <w:rPr>
          <w:rFonts w:hint="eastAsia" w:ascii="宋体" w:hAnsi="宋体" w:eastAsia="宋体" w:cs="宋体"/>
          <w:sz w:val="24"/>
          <w:highlight w:val="none"/>
        </w:rPr>
        <w:t>-2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法定代表人的授权委托书（格式）</w:t>
      </w:r>
      <w:bookmarkEnd w:id="118"/>
    </w:p>
    <w:p>
      <w:pPr>
        <w:tabs>
          <w:tab w:val="left" w:pos="5580"/>
        </w:tabs>
        <w:spacing w:line="360" w:lineRule="auto"/>
        <w:jc w:val="center"/>
        <w:rPr>
          <w:rFonts w:hint="eastAsia" w:ascii="宋体" w:hAnsi="宋体" w:eastAsia="宋体" w:cs="宋体"/>
          <w:sz w:val="24"/>
          <w:highlight w:val="none"/>
        </w:rPr>
      </w:pPr>
      <w:bookmarkStart w:id="119" w:name="_Toc24932_WPSOffice_Level3"/>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 </w:t>
      </w:r>
      <w:bookmarkEnd w:id="119"/>
      <w:r>
        <w:rPr>
          <w:rFonts w:hint="eastAsia" w:ascii="宋体" w:hAnsi="宋体" w:eastAsia="宋体" w:cs="宋体"/>
          <w:sz w:val="24"/>
          <w:highlight w:val="none"/>
        </w:rPr>
        <w:t>供应商财务状况证明文件</w:t>
      </w:r>
    </w:p>
    <w:p>
      <w:pPr>
        <w:tabs>
          <w:tab w:val="left" w:pos="5580"/>
        </w:tabs>
        <w:spacing w:line="360" w:lineRule="auto"/>
        <w:jc w:val="center"/>
        <w:rPr>
          <w:rFonts w:hint="eastAsia" w:ascii="宋体" w:hAnsi="宋体" w:eastAsia="宋体" w:cs="宋体"/>
          <w:sz w:val="24"/>
          <w:highlight w:val="none"/>
        </w:rPr>
      </w:pPr>
      <w:bookmarkStart w:id="120" w:name="_Toc7676_WPSOffice_Level3"/>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社会保障资金缴纳记录证明文件</w:t>
      </w:r>
      <w:bookmarkEnd w:id="120"/>
    </w:p>
    <w:p>
      <w:pPr>
        <w:tabs>
          <w:tab w:val="left" w:pos="5580"/>
        </w:tabs>
        <w:spacing w:line="360" w:lineRule="auto"/>
        <w:jc w:val="center"/>
        <w:rPr>
          <w:rFonts w:hint="eastAsia" w:ascii="宋体" w:hAnsi="宋体" w:eastAsia="宋体" w:cs="宋体"/>
          <w:sz w:val="24"/>
          <w:highlight w:val="none"/>
        </w:rPr>
      </w:pPr>
      <w:bookmarkStart w:id="121" w:name="_Toc11097_WPSOffice_Level3"/>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依法缴纳税收记录证明文件</w:t>
      </w:r>
      <w:bookmarkEnd w:id="121"/>
    </w:p>
    <w:p>
      <w:pPr>
        <w:tabs>
          <w:tab w:val="left" w:pos="5580"/>
        </w:tabs>
        <w:spacing w:line="360" w:lineRule="auto"/>
        <w:jc w:val="center"/>
        <w:rPr>
          <w:rFonts w:hint="eastAsia" w:ascii="宋体" w:hAnsi="宋体" w:eastAsia="宋体" w:cs="宋体"/>
          <w:sz w:val="24"/>
          <w:highlight w:val="none"/>
        </w:rPr>
      </w:pPr>
      <w:bookmarkStart w:id="122" w:name="_Toc28933_WPSOffice_Level3"/>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 xml:space="preserve">6 </w:t>
      </w:r>
      <w:r>
        <w:rPr>
          <w:rFonts w:hint="eastAsia" w:ascii="宋体" w:hAnsi="宋体" w:eastAsia="宋体" w:cs="宋体"/>
          <w:sz w:val="24"/>
          <w:highlight w:val="none"/>
        </w:rPr>
        <w:t>参加本次采购活动前三年内，在经营活动中没有违法记录的书面声明</w:t>
      </w:r>
      <w:bookmarkEnd w:id="122"/>
    </w:p>
    <w:p>
      <w:pPr>
        <w:tabs>
          <w:tab w:val="left" w:pos="5580"/>
        </w:tabs>
        <w:spacing w:line="360" w:lineRule="auto"/>
        <w:jc w:val="center"/>
        <w:rPr>
          <w:rFonts w:hint="eastAsia" w:ascii="宋体" w:hAnsi="宋体" w:eastAsia="宋体" w:cs="宋体"/>
          <w:sz w:val="24"/>
          <w:szCs w:val="24"/>
          <w:highlight w:val="none"/>
        </w:rPr>
      </w:pPr>
      <w:bookmarkStart w:id="123" w:name="_Toc28967_WPSOffice_Level3"/>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7 </w:t>
      </w:r>
      <w:r>
        <w:rPr>
          <w:rFonts w:hint="eastAsia" w:ascii="宋体" w:hAnsi="宋体" w:eastAsia="宋体" w:cs="宋体"/>
          <w:sz w:val="24"/>
          <w:szCs w:val="24"/>
          <w:highlight w:val="none"/>
        </w:rPr>
        <w:t>供应商无关联关系书面承诺函</w:t>
      </w:r>
      <w:bookmarkEnd w:id="123"/>
    </w:p>
    <w:p>
      <w:pPr>
        <w:tabs>
          <w:tab w:val="left" w:pos="5580"/>
        </w:tabs>
        <w:spacing w:line="360" w:lineRule="auto"/>
        <w:jc w:val="center"/>
        <w:rPr>
          <w:rFonts w:hint="eastAsia" w:ascii="宋体" w:hAnsi="宋体" w:eastAsia="宋体" w:cs="宋体"/>
          <w:sz w:val="24"/>
          <w:szCs w:val="24"/>
          <w:highlight w:val="none"/>
        </w:rPr>
      </w:pPr>
      <w:bookmarkStart w:id="124" w:name="_Toc28162_WPSOffice_Level3"/>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8 </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文件要求的其他资格证明文件</w:t>
      </w:r>
      <w:bookmarkEnd w:id="124"/>
    </w:p>
    <w:p>
      <w:pPr>
        <w:tabs>
          <w:tab w:val="left" w:pos="5580"/>
        </w:tabs>
        <w:spacing w:line="360" w:lineRule="auto"/>
        <w:jc w:val="center"/>
        <w:rPr>
          <w:rFonts w:hint="eastAsia" w:ascii="宋体" w:hAnsi="宋体" w:eastAsia="宋体" w:cs="宋体"/>
          <w:b/>
          <w:sz w:val="24"/>
          <w:highlight w:val="none"/>
        </w:rPr>
      </w:pPr>
      <w:r>
        <w:rPr>
          <w:rFonts w:hint="eastAsia" w:ascii="宋体" w:hAnsi="宋体" w:eastAsia="宋体" w:cs="宋体"/>
          <w:sz w:val="24"/>
          <w:highlight w:val="none"/>
        </w:rPr>
        <w:br w:type="page"/>
      </w:r>
      <w:bookmarkStart w:id="125" w:name="_Toc332809411"/>
      <w:bookmarkStart w:id="126" w:name="_Toc4237_WPSOffice_Level2"/>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法人营业执照副本</w:t>
      </w:r>
      <w:bookmarkEnd w:id="125"/>
      <w:bookmarkEnd w:id="126"/>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eastAsia="zh-CN"/>
        </w:rPr>
        <w:t>参选人</w:t>
      </w:r>
      <w:r>
        <w:rPr>
          <w:rFonts w:hint="eastAsia" w:ascii="宋体" w:hAnsi="宋体" w:eastAsia="宋体" w:cs="宋体"/>
          <w:sz w:val="24"/>
          <w:szCs w:val="24"/>
          <w:highlight w:val="none"/>
        </w:rPr>
        <w:t>必须是合法注册的具有独立法人资格的企业，具有有效的营业执照。</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hAnsi="宋体" w:cs="宋体"/>
          <w:sz w:val="24"/>
          <w:szCs w:val="24"/>
          <w:highlight w:val="none"/>
          <w:lang w:eastAsia="zh-CN"/>
        </w:rPr>
        <w:t>参选人</w:t>
      </w:r>
      <w:r>
        <w:rPr>
          <w:rFonts w:hint="eastAsia" w:ascii="宋体" w:hAnsi="宋体" w:eastAsia="宋体" w:cs="宋体"/>
          <w:sz w:val="24"/>
          <w:szCs w:val="24"/>
          <w:highlight w:val="none"/>
        </w:rPr>
        <w:t>必须提供营业执照副本复印件，并加盖</w:t>
      </w:r>
      <w:r>
        <w:rPr>
          <w:rFonts w:hint="eastAsia" w:hAnsi="宋体" w:cs="宋体"/>
          <w:sz w:val="24"/>
          <w:szCs w:val="24"/>
          <w:highlight w:val="none"/>
          <w:lang w:eastAsia="zh-CN"/>
        </w:rPr>
        <w:t>参选人</w:t>
      </w:r>
      <w:r>
        <w:rPr>
          <w:rFonts w:hint="eastAsia" w:ascii="宋体" w:hAnsi="宋体" w:eastAsia="宋体" w:cs="宋体"/>
          <w:sz w:val="24"/>
          <w:szCs w:val="24"/>
          <w:highlight w:val="none"/>
        </w:rPr>
        <w:t>单位公章予以证明。</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3、事业单位法人，需要提供有效期内的事业单位法人证书。</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4、非法人企业，需要提供经有权机关有效查验的其他资格证明。</w:t>
      </w:r>
    </w:p>
    <w:p>
      <w:pPr>
        <w:tabs>
          <w:tab w:val="left" w:pos="5580"/>
        </w:tabs>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br w:type="page"/>
      </w:r>
      <w:bookmarkStart w:id="127" w:name="_Toc332809412"/>
      <w:bookmarkStart w:id="128" w:name="_Toc26679_WPSOffice_Level2"/>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-2</w:t>
      </w:r>
      <w:bookmarkEnd w:id="127"/>
      <w:bookmarkStart w:id="129" w:name="_Toc332809413"/>
      <w:r>
        <w:rPr>
          <w:rFonts w:hint="eastAsia" w:ascii="宋体" w:hAnsi="宋体" w:eastAsia="宋体" w:cs="宋体"/>
          <w:b/>
          <w:bCs/>
          <w:sz w:val="24"/>
          <w:highlight w:val="none"/>
        </w:rPr>
        <w:t xml:space="preserve"> 法定代表人的授权委托书(格式)</w:t>
      </w:r>
      <w:bookmarkEnd w:id="128"/>
      <w:bookmarkEnd w:id="129"/>
    </w:p>
    <w:p>
      <w:pPr>
        <w:spacing w:line="360" w:lineRule="auto"/>
        <w:ind w:firstLine="480" w:firstLineChars="200"/>
        <w:rPr>
          <w:rFonts w:hint="eastAsia" w:ascii="宋体" w:hAnsi="宋体" w:eastAsia="宋体" w:cs="宋体"/>
          <w:kern w:val="0"/>
          <w:sz w:val="24"/>
          <w:szCs w:val="24"/>
          <w:highlight w:val="none"/>
        </w:rPr>
      </w:pPr>
      <w:bookmarkStart w:id="130" w:name="_Toc332809414"/>
      <w:bookmarkStart w:id="131" w:name="_Toc4871_WPSOffice_Level2"/>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国家或者地区的名称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公司名称</w:t>
      </w:r>
      <w:r>
        <w:rPr>
          <w:rFonts w:hint="eastAsia" w:ascii="宋体" w:hAnsi="宋体" w:eastAsia="宋体" w:cs="宋体"/>
          <w:kern w:val="0"/>
          <w:sz w:val="24"/>
          <w:szCs w:val="24"/>
          <w:highlight w:val="none"/>
        </w:rPr>
        <w:t>）的在下面签字的（</w:t>
      </w:r>
      <w:r>
        <w:rPr>
          <w:rFonts w:hint="eastAsia" w:ascii="宋体" w:hAnsi="宋体" w:eastAsia="宋体" w:cs="宋体"/>
          <w:kern w:val="0"/>
          <w:sz w:val="24"/>
          <w:szCs w:val="24"/>
          <w:highlight w:val="none"/>
          <w:u w:val="single"/>
        </w:rPr>
        <w:t>法定代表人姓名、职务</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）的在下面签字的（</w:t>
      </w:r>
      <w:r>
        <w:rPr>
          <w:rFonts w:hint="eastAsia" w:ascii="宋体" w:hAnsi="宋体" w:eastAsia="宋体" w:cs="宋体"/>
          <w:kern w:val="0"/>
          <w:sz w:val="24"/>
          <w:szCs w:val="24"/>
          <w:highlight w:val="none"/>
          <w:u w:val="single"/>
        </w:rPr>
        <w:t>被授权人的姓名、职务</w:t>
      </w:r>
      <w:r>
        <w:rPr>
          <w:rFonts w:hint="eastAsia" w:ascii="宋体" w:hAnsi="宋体" w:eastAsia="宋体" w:cs="宋体"/>
          <w:kern w:val="0"/>
          <w:sz w:val="24"/>
          <w:szCs w:val="24"/>
          <w:highlight w:val="none"/>
        </w:rPr>
        <w:t>）为本公司的合法代理人，在（</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）的项目中（含所有采购方式），以本公司名义处理采购过程中除质疑以外的有关事务。</w:t>
      </w:r>
    </w:p>
    <w:p>
      <w:pPr>
        <w:pStyle w:val="32"/>
        <w:spacing w:line="360" w:lineRule="auto"/>
        <w:rPr>
          <w:rFonts w:hint="eastAsia" w:ascii="宋体" w:hAnsi="宋体" w:eastAsia="宋体" w:cs="宋体"/>
          <w:highlight w:val="none"/>
        </w:rPr>
      </w:pPr>
    </w:p>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日签字生效，至领取保证金时失效，特此声明。</w:t>
      </w:r>
    </w:p>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法定代表人签字或盖章：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ab/>
      </w:r>
    </w:p>
    <w:p>
      <w:pPr>
        <w:tabs>
          <w:tab w:val="left" w:pos="5580"/>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被授权人签字：</w:t>
      </w:r>
      <w:r>
        <w:rPr>
          <w:rFonts w:hint="eastAsia" w:ascii="宋体" w:hAnsi="宋体" w:eastAsia="宋体" w:cs="宋体"/>
          <w:kern w:val="0"/>
          <w:sz w:val="24"/>
          <w:szCs w:val="24"/>
          <w:highlight w:val="none"/>
          <w:u w:val="single"/>
        </w:rPr>
        <w:tab/>
      </w:r>
    </w:p>
    <w:p>
      <w:pPr>
        <w:tabs>
          <w:tab w:val="left" w:pos="5580"/>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lang w:eastAsia="zh-CN"/>
        </w:rPr>
        <w:t>参选人</w:t>
      </w:r>
      <w:r>
        <w:rPr>
          <w:rFonts w:hint="eastAsia" w:ascii="宋体" w:hAnsi="宋体" w:eastAsia="宋体" w:cs="宋体"/>
          <w:kern w:val="0"/>
          <w:sz w:val="24"/>
          <w:szCs w:val="24"/>
          <w:highlight w:val="none"/>
        </w:rPr>
        <w:t>单位公章：</w:t>
      </w:r>
      <w:r>
        <w:rPr>
          <w:rFonts w:hint="eastAsia" w:ascii="宋体" w:hAnsi="宋体" w:eastAsia="宋体" w:cs="宋体"/>
          <w:kern w:val="0"/>
          <w:sz w:val="24"/>
          <w:szCs w:val="24"/>
          <w:highlight w:val="none"/>
          <w:u w:val="single"/>
        </w:rPr>
        <w:tab/>
      </w:r>
    </w:p>
    <w:p>
      <w:pPr>
        <w:tabs>
          <w:tab w:val="left" w:pos="5035"/>
        </w:tabs>
        <w:spacing w:line="360" w:lineRule="auto"/>
        <w:rPr>
          <w:rFonts w:hint="eastAsia" w:ascii="宋体" w:hAnsi="宋体" w:eastAsia="宋体" w:cs="宋体"/>
          <w:kern w:val="0"/>
          <w:sz w:val="24"/>
          <w:szCs w:val="24"/>
          <w:highlight w:val="none"/>
        </w:rPr>
      </w:pPr>
    </w:p>
    <w:p>
      <w:pPr>
        <w:tabs>
          <w:tab w:val="left" w:pos="5580"/>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w:t>
      </w:r>
    </w:p>
    <w:p>
      <w:pPr>
        <w:tabs>
          <w:tab w:val="left" w:pos="530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被授权人姓名：</w:t>
      </w:r>
      <w:r>
        <w:rPr>
          <w:rFonts w:hint="eastAsia" w:ascii="宋体" w:hAnsi="宋体" w:eastAsia="宋体" w:cs="宋体"/>
          <w:kern w:val="0"/>
          <w:sz w:val="24"/>
          <w:szCs w:val="24"/>
          <w:highlight w:val="none"/>
          <w:u w:val="single"/>
        </w:rPr>
        <w:tab/>
      </w:r>
    </w:p>
    <w:p>
      <w:pPr>
        <w:tabs>
          <w:tab w:val="left" w:pos="531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r>
        <w:rPr>
          <w:rFonts w:hint="eastAsia" w:ascii="宋体" w:hAnsi="宋体" w:eastAsia="宋体" w:cs="宋体"/>
          <w:kern w:val="0"/>
          <w:sz w:val="24"/>
          <w:szCs w:val="24"/>
          <w:highlight w:val="none"/>
          <w:u w:val="single"/>
        </w:rPr>
        <w:tab/>
      </w:r>
    </w:p>
    <w:p>
      <w:pPr>
        <w:tabs>
          <w:tab w:val="left" w:pos="530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详细通讯地址：</w:t>
      </w:r>
      <w:r>
        <w:rPr>
          <w:rFonts w:hint="eastAsia" w:ascii="宋体" w:hAnsi="宋体" w:eastAsia="宋体" w:cs="宋体"/>
          <w:kern w:val="0"/>
          <w:sz w:val="24"/>
          <w:szCs w:val="24"/>
          <w:highlight w:val="none"/>
          <w:u w:val="single"/>
        </w:rPr>
        <w:tab/>
      </w:r>
    </w:p>
    <w:p>
      <w:pPr>
        <w:tabs>
          <w:tab w:val="left" w:pos="530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ab/>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u w:val="single"/>
        </w:rPr>
        <w:tab/>
      </w:r>
    </w:p>
    <w:p>
      <w:pPr>
        <w:spacing w:line="360" w:lineRule="auto"/>
        <w:rPr>
          <w:rFonts w:hint="eastAsia" w:ascii="宋体" w:hAnsi="宋体" w:eastAsia="宋体" w:cs="宋体"/>
          <w:highlight w:val="none"/>
          <w:u w:val="single"/>
        </w:rPr>
      </w:pPr>
      <w:r>
        <w:rPr>
          <w:rFonts w:hint="eastAsia" w:ascii="宋体" w:hAnsi="宋体" w:eastAsia="宋体" w:cs="宋体"/>
          <w:highlight w:val="none"/>
        </w:rPr>
        <w:br w:type="page"/>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法人身份证明文件</w:t>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31115</wp:posOffset>
                </wp:positionV>
                <wp:extent cx="2628900" cy="1266190"/>
                <wp:effectExtent l="0" t="0" r="19050" b="10160"/>
                <wp:wrapNone/>
                <wp:docPr id="5" name="圆角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3pt;margin-top:2.45pt;height:99.7pt;width:207pt;z-index:251659264;v-text-anchor:middle;mso-width-relative:page;mso-height-relative:page;" filled="f" stroked="t" coordsize="21600,21600" arcsize="0.166666666666667" o:gfxdata="UEsDBAoAAAAAAIdO4kAAAAAAAAAAAAAAAAAEAAAAZHJzL1BLAwQUAAAACACHTuJABTxx5NYAAAAI&#10;AQAADwAAAGRycy9kb3ducmV2LnhtbE2PwU7DMBBE70j8g7VI3KiTNkRtiNMDag8cKRWImxsvcSBe&#10;R7GbNH/P9gTH2RnNvim3F9eJEYfQelKQLhIQSLU3LTUKjm/7hzWIEDUZ3XlCBTMG2Fa3N6UujJ/o&#10;FcdDbASXUCi0AhtjX0gZaotOh4Xvkdj78oPTkeXQSDPoictdJ5dJkkunW+IPVvf4bLH+OZydgnf8&#10;DNPsH8dx//LxfZzTXR7tTqn7uzR5AhHxEv/CcMVndKiY6eTPZILoFCyTnJMKsg0ItrNVxvp0vWcr&#10;kFUp/w+ofgFQSwMEFAAAAAgAh07iQKgCK+lLAgAAgQQAAA4AAABkcnMvZTJvRG9jLnhtbK1UTW4T&#10;MRTeI3EHy3syk4hO21EmVdW0bCqoaDmAY3tmDP6T7WQmF+AArJGQ2CAOwXEqOAbPnkkgZZMFm9Gz&#10;/fy9933f88wveiXRhjsvjK7wdJJjxDU1TOimwu8ebl6cYeQD0YxIo3mFt9zji8XzZ/POlnxmWiMZ&#10;dwhAtC87W+E2BFtmmactV8RPjOUaDmvjFAmwdE3GHOkAXclsludF1hnHrDOUew+7y+EQj4juGEBT&#10;14LypaFrxXUYUB2XJAAl3wrr8SJ1W9echjd17XlAssLANKQvFIF4Fb/ZYk7KxhHbCjq2QI5p4Qkn&#10;RYSGonuoJQkErZ34B0oJ6ow3dZhQo7KBSFIEWEzzJ9rct8TyxAWk9nYvuv9/sPT15s4hwSp8gpEm&#10;Cgx//Pzx17dPP798f/zxFZ1EhTrrS0i8t3cucvT21tAPHmlz1RLd8EtvQWeYJUAwD7wP10ykJVzN&#10;Du7GhR9R+tqpiAYaoD4Zst0bAhiIwuasmJ2d5+AVhbPprCim58myjJS769b58IobhWJQYWfWmr2F&#10;dpIbZHPrQ7KFjeQIe49RrSSYvCESTYuiOI0UAXFMhmiHGW9qcyOkTGMiNepiG6epIwKzX8PMQXPK&#10;gn5eN6mmN1KweCdJ5ZrVlXQIalX4NL9cvtxVO0iLBZfEt0NeOhomU4nAXSrecsKuNUNha8EjDU8T&#10;x24UZxhJDi85RikzECGPyQSiUo8ODaZEe0K/6gEmhivDtjAcRNPWwJOhwWG0tk407YG7MJlJv/EV&#10;xdH/e50q/Plz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Txx5NYAAAAIAQAADwAAAAAAAAAB&#10;ACAAAAAiAAAAZHJzL2Rvd25yZXYueG1sUEsBAhQAFAAAAAgAh07iQKgCK+lLAgAAgQQAAA4AAAAA&#10;AAAAAQAgAAAAJQEAAGRycy9lMm9Eb2MueG1sUEsFBgAAAAAGAAYAWQEAAOI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34290</wp:posOffset>
                </wp:positionV>
                <wp:extent cx="2628900" cy="1266190"/>
                <wp:effectExtent l="6350" t="6350" r="12700" b="22860"/>
                <wp:wrapNone/>
                <wp:docPr id="6" name="圆角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05pt;margin-top:2.7pt;height:99.7pt;width:207pt;z-index:251660288;v-text-anchor:middle;mso-width-relative:page;mso-height-relative:page;" filled="f" stroked="t" coordsize="21600,21600" arcsize="0.166666666666667" o:gfxdata="UEsDBAoAAAAAAIdO4kAAAAAAAAAAAAAAAAAEAAAAZHJzL1BLAwQUAAAACACHTuJA+QiIedYAAAAI&#10;AQAADwAAAGRycy9kb3ducmV2LnhtbE2PwU7DMBBE70j8g7VI3KiTkEZViNMDag8cKVURNzde4kC8&#10;jmI3af6e5QTH2RnNvqm2V9eLCcfQeVKQrhIQSI03HbUKjm/7hw2IEDUZ3XtCBQsG2Na3N5UujZ/p&#10;FadDbAWXUCi1AhvjUEoZGotOh5UfkNj79KPTkeXYSjPqmctdL7MkKaTTHfEHqwd8tth8Hy5OwQk/&#10;wrz49TTtX96/jku6K6LdKXV/lyZPICJe418YfvEZHWpmOvsLmSB6BVmWclLBOgfBdv5YsD7zPck3&#10;IOtK/h9Q/wBQSwMEFAAAAAgAh07iQBZUwtxK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UuMNJE&#10;geGPnz/++vbp55fvjz++oiIq1FlfQuK9vXORo7e3hn7wSJurluiGX3oLOsMsAYJ54H24ZiIt4Wp2&#10;dDcu/IjS105FNNAA9cmQ3cEQwEAUNmfF7Ow8B68onE1nRTE9T5ZlpNxft86HV9woFIMKO7PR7C20&#10;k9wg21sfki1sJEfYe4xqJcHkLZFoWhTFPFIExDEZoj1mvKnNjZAyjYnUqIttzFNHBGa/hpmD5pQF&#10;/bxuUk1vpGDxTpLKNesr6RDUqvA8v1y93Fc7SosFV8S3Q146GiZTicBdKt5ywq41Q2FnwSMNTxPH&#10;bhRnGEkOLzlGKTMQIU/JBKJSjw4NpkR7Qr/uASaGa8N2MBxE09bAk6HBYbSxTjTtkbswmUm/8RXF&#10;0f97nSr8+XM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5CIh51gAAAAgBAAAPAAAAAAAAAAEA&#10;IAAAACIAAABkcnMvZG93bnJldi54bWxQSwECFAAUAAAACACHTuJAFlTC3EoCAACBBAAADgAAAAAA&#10;AAABACAAAAAlAQAAZHJzL2Uyb0RvYy54bWxQSwUGAAAAAAYABgBZAQAA4QU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305"/>
        </w:tabs>
        <w:spacing w:line="360" w:lineRule="auto"/>
        <w:rPr>
          <w:rFonts w:hint="eastAsia" w:ascii="宋体" w:hAnsi="宋体" w:eastAsia="宋体" w:cs="宋体"/>
          <w:kern w:val="0"/>
          <w:sz w:val="24"/>
          <w:szCs w:val="24"/>
          <w:highlight w:val="none"/>
          <w:u w:val="single"/>
        </w:rPr>
      </w:pP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被授权代表身份证明文件</w:t>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223520</wp:posOffset>
                </wp:positionV>
                <wp:extent cx="2628900" cy="1266190"/>
                <wp:effectExtent l="6350" t="6350" r="12700" b="22860"/>
                <wp:wrapNone/>
                <wp:docPr id="8" name="圆角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45pt;margin-top:17.6pt;height:99.7pt;width:207pt;z-index:251661312;v-text-anchor:middle;mso-width-relative:page;mso-height-relative:page;" filled="f" stroked="t" coordsize="21600,21600" arcsize="0.166666666666667" o:gfxdata="UEsDBAoAAAAAAIdO4kAAAAAAAAAAAAAAAAAEAAAAZHJzL1BLAwQUAAAACACHTuJAd3gEGdcAAAAJ&#10;AQAADwAAAGRycy9kb3ducmV2LnhtbE2PPU/DMBCGdyT+g3VIbNTOR6M2xOmA2oGRUoHY3PiIA7Ed&#10;xW7S/HuOCca759V7z1W7q+3ZhGPovJOQrAQwdI3XnWslnF4PDxtgISqnVe8dSlgwwK6+valUqf3s&#10;XnA6xpZRiQulkmBiHErOQ2PQqrDyAzpin360KtI4tlyPaqZy2/NUiIJb1Tm6YNSATwab7+PFSnjD&#10;jzAvfj1Nh+f3r9OS7Ito9lLe3yXiEVjEa/wLw68+qUNNTmd/cTqwXkIqtpSUkK1TYMTzLKfFmUCW&#10;F8Driv//oP4BUEsDBBQAAAAIAIdO4kAFaAabSgIAAIEEAAAOAAAAZHJzL2Uyb0RvYy54bWytVE2O&#10;0zAU3iNxB8t7mrRCaSdqOhpNZ9iMYMQMB3BtJzH4T7bbpBfgAKyRkNggDsFxRnAMnp200GEzCzbR&#10;s/38vfd933OW572SaMedF0ZXeDrJMeKaGiZ0U+F399cvFhj5QDQj0mhe4T33+Hz1/NmysyWfmdZI&#10;xh0CEO3Lzla4DcGWWeZpyxXxE2O5hsPaOEUCLF2TMUc6QFcym+V5kXXGMesM5d7D7no4xCOiewqg&#10;qWtB+drQreI6DKiOSxKAkm+F9XiVuq1rTsObuvY8IFlhYBrSF4pAvInfbLUkZeOIbQUdWyBPaeER&#10;J0WEhqJHqDUJBG2d+AdKCeqMN3WYUKOygUhSBFhM80fa3LXE8sQFpPb2KLr/f7D09e7WIcEqDLZr&#10;osDwh88ff3379PPL94cfX9EiKtRZX0Linb11kaO3N4Z+8Eiby5bohl94CzrDLAGCued9uGIiLeFq&#10;dnI3LvyI0tdORTTQAPXJkP3REMBAFDZnxWxxloNXFM6ms6KYniXLMlIerlvnwytuFIpBhZ3ZavYW&#10;2klukN2ND8kWNpIj7D1GtZJg8o5INC2KYh4pAuKYDNEBM97U5lpImcZEatTFNuapIwKzX8PMQXPK&#10;gn5eN6mmN1KweCdJ5ZrNpXQIalV4nl+sXx6qnaTFgmvi2yEvHQ2TqUTgLhVvOWFXmqGwt+CRhqeJ&#10;YzeKM4wkh5cco5QZiJBPyQSiUo8ODaZEe0K/6QEmhhvD9jAcRNPWwJOhwWG0tU407Ym7MJlJv/EV&#10;xdH/e50q/Plz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3gEGdcAAAAJAQAADwAAAAAAAAAB&#10;ACAAAAAiAAAAZHJzL2Rvd25yZXYueG1sUEsBAhQAFAAAAAgAh07iQAVoBptKAgAAgQQAAA4AAAAA&#10;AAAAAQAgAAAAJgEAAGRycy9lMm9Eb2MueG1sUEsFBgAAAAAGAAYAWQEAAOI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140970</wp:posOffset>
                </wp:positionH>
                <wp:positionV relativeFrom="paragraph">
                  <wp:posOffset>1410335</wp:posOffset>
                </wp:positionV>
                <wp:extent cx="2628900" cy="1266190"/>
                <wp:effectExtent l="6350" t="6350" r="12700" b="22860"/>
                <wp:wrapNone/>
                <wp:docPr id="7" name="圆角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1pt;margin-top:111.05pt;height:99.7pt;width:207pt;z-index:251662336;v-text-anchor:middle;mso-width-relative:page;mso-height-relative:page;" filled="f" stroked="t" coordsize="21600,21600" arcsize="0.166666666666667" o:gfxdata="UEsDBAoAAAAAAIdO4kAAAAAAAAAAAAAAAAAEAAAAZHJzL1BLAwQUAAAACACHTuJAEjonhtYAAAAK&#10;AQAADwAAAGRycy9kb3ducmV2LnhtbE2PP0/DMBDFdyS+g3VIbNRxoBEKcTqgdmCkVCA2Nz7iQHyO&#10;Yjdpvj0HC0z37+m931Wbs+/FhGPsAmlQqwwEUhNsR62Gw8vu5h5ETIas6QOhhgUjbOrLi8qUNsz0&#10;jNM+tYJNKJZGg0tpKKWMjUNv4ioMSHz7CKM3icexlXY0M5v7XuZZVkhvOuIEZwZ8dNh87U9ewyu+&#10;x3kJ62naPb19Hha1LZLban19pbIHEAnP6U8MP/iMDjUzHcOJbBS9hjzPWflbFQgW3N0WvDlyk6s1&#10;yLqS/1+ovwFQSwMEFAAAAAgAh07iQENkSnlG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WeY6SJ&#10;AsMfP3/89e3Tzy/fH398RfOoUGd9CYn39s5Fjt7eGvrBI22uWqIbfukt6AyzBAjmgffhmom0hKvZ&#10;0d248CNKXzsV0UAD1CdDdgdDAANR2JwVs7PzHLyicDadFcX0PFmWkXJ/3TofXnGjUAwq7MxGs7fQ&#10;TnKDbG99SLawkRxh7zGqlQSTt0SiaVEUiSIgjskQ7THjTW1uhJRpTKRGXWxjnjoiMPs1zBw0pyzo&#10;53WTanojBYt3klSuWV9Jh6AWKJxfrl7uqx2lxYIr4tshLx0Nk6lE4C4Vbzlh15qhsLPgkYaniWM3&#10;ijOMJIeXHKOUGYiQp2QCUalHhwZToj2hX/cAE8O1YTsYDqJpa+DJ0OAw2lgnmvbIXZhMQDka/b/X&#10;qcKfP8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I6J4bWAAAACgEAAA8AAAAAAAAAAQAgAAAA&#10;IgAAAGRycy9kb3ducmV2LnhtbFBLAQIUABQAAAAIAIdO4kBDZEp5RgIAAIEEAAAOAAAAAAAAAAEA&#10;IAAAACUBAABkcnMvZTJvRG9jLnhtbFBLBQYAAAAABgAGAFkBAADdBQ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r>
        <w:rPr>
          <w:rFonts w:hint="eastAsia" w:ascii="宋体" w:hAnsi="宋体" w:eastAsia="宋体" w:cs="宋体"/>
          <w:sz w:val="24"/>
          <w:szCs w:val="24"/>
          <w:highlight w:val="none"/>
        </w:rPr>
        <w:br w:type="page"/>
      </w:r>
    </w:p>
    <w:bookmarkEnd w:id="130"/>
    <w:bookmarkEnd w:id="131"/>
    <w:p>
      <w:pPr>
        <w:tabs>
          <w:tab w:val="left" w:pos="5580"/>
        </w:tabs>
        <w:spacing w:line="360" w:lineRule="auto"/>
        <w:jc w:val="center"/>
        <w:rPr>
          <w:rFonts w:hint="eastAsia" w:ascii="宋体" w:hAnsi="宋体" w:eastAsia="宋体" w:cs="宋体"/>
          <w:b/>
          <w:sz w:val="24"/>
          <w:highlight w:val="none"/>
        </w:rPr>
      </w:pPr>
      <w:bookmarkStart w:id="132" w:name="_Toc332809415"/>
      <w:bookmarkStart w:id="133" w:name="_Toc1011_WPSOffice_Level2"/>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 xml:space="preserve"> </w:t>
      </w:r>
      <w:r>
        <w:rPr>
          <w:rFonts w:hint="eastAsia" w:ascii="宋体" w:hAnsi="宋体" w:eastAsia="宋体" w:cs="宋体"/>
          <w:b/>
          <w:sz w:val="24"/>
          <w:highlight w:val="none"/>
          <w:lang w:eastAsia="zh-CN"/>
        </w:rPr>
        <w:t>参选人</w:t>
      </w:r>
      <w:r>
        <w:rPr>
          <w:rFonts w:hint="eastAsia" w:ascii="宋体" w:hAnsi="宋体" w:eastAsia="宋体" w:cs="宋体"/>
          <w:b/>
          <w:sz w:val="24"/>
          <w:highlight w:val="none"/>
        </w:rPr>
        <w:t>财务状况证明文件</w:t>
      </w:r>
      <w:bookmarkEnd w:id="132"/>
      <w:bookmarkEnd w:id="133"/>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lang w:val="en-US" w:eastAsia="zh-CN"/>
        </w:rPr>
        <w:t>________________（采购人单位名称）：</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我方具有良好的商业信誉和健全的财务会计制度，我方承诺上述内容真实、有效，如有虚假，愿承担一切法律责任。</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lang w:eastAsia="zh-CN"/>
        </w:rPr>
        <w:t>参选人承诺不实的，提供虚假材料谋取中标、成交的将被</w:t>
      </w:r>
      <w:r>
        <w:rPr>
          <w:rFonts w:hint="eastAsia" w:ascii="宋体" w:hAnsi="宋体" w:eastAsia="宋体" w:cs="宋体"/>
          <w:sz w:val="24"/>
          <w:highlight w:val="none"/>
        </w:rPr>
        <w:t>列入不良行为记录名单，在一至三年内禁止参加</w:t>
      </w:r>
      <w:r>
        <w:rPr>
          <w:rFonts w:hint="eastAsia" w:ascii="宋体" w:hAnsi="宋体" w:eastAsia="宋体" w:cs="宋体"/>
          <w:sz w:val="24"/>
          <w:highlight w:val="none"/>
          <w:lang w:eastAsia="zh-CN"/>
        </w:rPr>
        <w:t>采购人的</w:t>
      </w:r>
      <w:r>
        <w:rPr>
          <w:rFonts w:hint="eastAsia" w:ascii="宋体" w:hAnsi="宋体" w:eastAsia="宋体" w:cs="宋体"/>
          <w:sz w:val="24"/>
          <w:highlight w:val="none"/>
        </w:rPr>
        <w:t>采购活动</w:t>
      </w:r>
      <w:r>
        <w:rPr>
          <w:rFonts w:hint="eastAsia" w:ascii="宋体" w:hAnsi="宋体" w:eastAsia="宋体" w:cs="宋体"/>
          <w:sz w:val="24"/>
          <w:highlight w:val="none"/>
          <w:lang w:eastAsia="zh-CN"/>
        </w:rPr>
        <w:t>。</w:t>
      </w:r>
    </w:p>
    <w:p>
      <w:pPr>
        <w:tabs>
          <w:tab w:val="left" w:pos="5580"/>
        </w:tabs>
        <w:spacing w:line="360" w:lineRule="auto"/>
        <w:jc w:val="left"/>
        <w:rPr>
          <w:rFonts w:hint="eastAsia" w:ascii="宋体" w:hAnsi="宋体" w:eastAsia="宋体" w:cs="宋体"/>
          <w:sz w:val="24"/>
          <w:highlight w:val="none"/>
        </w:rPr>
      </w:pPr>
    </w:p>
    <w:p>
      <w:pPr>
        <w:tabs>
          <w:tab w:val="left" w:pos="5580"/>
        </w:tabs>
        <w:spacing w:line="360" w:lineRule="auto"/>
        <w:jc w:val="center"/>
        <w:rPr>
          <w:rFonts w:hint="eastAsia" w:ascii="宋体" w:hAnsi="宋体" w:eastAsia="宋体" w:cs="宋体"/>
          <w:b/>
          <w:sz w:val="24"/>
          <w:highlight w:val="none"/>
        </w:rPr>
      </w:pPr>
      <w:r>
        <w:rPr>
          <w:rFonts w:hint="eastAsia" w:ascii="宋体" w:hAnsi="宋体" w:eastAsia="宋体" w:cs="宋体"/>
          <w:sz w:val="24"/>
          <w:highlight w:val="none"/>
        </w:rPr>
        <w:br w:type="page"/>
      </w:r>
      <w:bookmarkStart w:id="134" w:name="_Toc332809416"/>
      <w:bookmarkStart w:id="135" w:name="_Toc8188_WPSOffice_Level2"/>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 xml:space="preserve"> 社会保障资金缴纳记录证明文件</w:t>
      </w:r>
      <w:bookmarkEnd w:id="134"/>
      <w:bookmarkEnd w:id="135"/>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bookmarkStart w:id="136" w:name="_Toc336248111"/>
      <w:bookmarkStart w:id="137" w:name="_Toc334622535"/>
      <w:bookmarkStart w:id="138" w:name="_Toc334622220"/>
      <w:bookmarkStart w:id="139" w:name="_Toc334622338"/>
      <w:bookmarkStart w:id="140" w:name="_Toc7598_WPSOffice_Level2"/>
      <w:bookmarkStart w:id="141" w:name="_Toc332809417"/>
      <w:bookmarkStart w:id="142" w:name="_Toc109543226"/>
      <w:bookmarkStart w:id="143" w:name="_Toc109542406"/>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lang w:val="en-US" w:eastAsia="zh-CN"/>
        </w:rPr>
        <w:t>________________（采购人单位名称）：</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我方具有依法缴纳社会保障资金的良好记录，我方承诺上述内容真实、有效，如有虚假，愿承担一切法律责任。</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w:t>
      </w:r>
      <w:bookmarkEnd w:id="136"/>
      <w:bookmarkEnd w:id="137"/>
      <w:bookmarkEnd w:id="138"/>
      <w:bookmarkEnd w:id="139"/>
      <w:r>
        <w:rPr>
          <w:rFonts w:hint="eastAsia" w:ascii="宋体" w:hAnsi="宋体" w:eastAsia="宋体" w:cs="宋体"/>
          <w:sz w:val="24"/>
          <w:szCs w:val="24"/>
          <w:highlight w:val="none"/>
          <w:lang w:eastAsia="zh-CN"/>
        </w:rPr>
        <w:t>参选人承诺不实的，提供虚假材料谋取中标、成交的将被</w:t>
      </w:r>
      <w:r>
        <w:rPr>
          <w:rFonts w:hint="eastAsia" w:ascii="宋体" w:hAnsi="宋体" w:eastAsia="宋体" w:cs="宋体"/>
          <w:sz w:val="24"/>
          <w:szCs w:val="24"/>
          <w:highlight w:val="none"/>
        </w:rPr>
        <w:t>列入不良行为记录名单，在一至三年内禁止参加</w:t>
      </w:r>
      <w:r>
        <w:rPr>
          <w:rFonts w:hint="eastAsia" w:ascii="宋体" w:hAnsi="宋体" w:eastAsia="宋体" w:cs="宋体"/>
          <w:sz w:val="24"/>
          <w:szCs w:val="24"/>
          <w:highlight w:val="none"/>
          <w:lang w:eastAsia="zh-CN"/>
        </w:rPr>
        <w:t>采购单位的</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br w:type="page"/>
      </w:r>
    </w:p>
    <w:p>
      <w:pPr>
        <w:tabs>
          <w:tab w:val="left" w:pos="5580"/>
        </w:tabs>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 xml:space="preserve"> 依法缴纳税收记录证明文件</w:t>
      </w:r>
      <w:bookmarkEnd w:id="140"/>
      <w:bookmarkEnd w:id="141"/>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lang w:val="en-US" w:eastAsia="zh-CN"/>
        </w:rPr>
        <w:t>________________（采购人单位名称）：</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我方具有依法缴纳税收的良好记录，我方承诺上述内容真实、有效，如有虚假，愿承担一切法律责任。</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w:t>
      </w:r>
      <w:r>
        <w:rPr>
          <w:rFonts w:hint="eastAsia" w:ascii="宋体" w:hAnsi="宋体" w:eastAsia="宋体" w:cs="宋体"/>
          <w:sz w:val="24"/>
          <w:szCs w:val="24"/>
          <w:highlight w:val="none"/>
          <w:lang w:eastAsia="zh-CN"/>
        </w:rPr>
        <w:t>参选人承诺不实的，提供虚假材料谋取中标、成交的将被</w:t>
      </w:r>
      <w:r>
        <w:rPr>
          <w:rFonts w:hint="eastAsia" w:ascii="宋体" w:hAnsi="宋体" w:eastAsia="宋体" w:cs="宋体"/>
          <w:sz w:val="24"/>
          <w:szCs w:val="24"/>
          <w:highlight w:val="none"/>
        </w:rPr>
        <w:t>列入不良行为记录名单，在一至三年内禁止参加</w:t>
      </w:r>
      <w:r>
        <w:rPr>
          <w:rFonts w:hint="eastAsia" w:ascii="宋体" w:hAnsi="宋体" w:eastAsia="宋体" w:cs="宋体"/>
          <w:sz w:val="24"/>
          <w:szCs w:val="24"/>
          <w:highlight w:val="none"/>
          <w:lang w:eastAsia="zh-CN"/>
        </w:rPr>
        <w:t>采购单位的</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eastAsia="zh-CN"/>
        </w:rPr>
        <w:t>。</w:t>
      </w:r>
    </w:p>
    <w:p>
      <w:pPr>
        <w:tabs>
          <w:tab w:val="left" w:pos="5580"/>
        </w:tabs>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Start w:id="144" w:name="_Toc332809418"/>
      <w:bookmarkStart w:id="145" w:name="_Toc4322_WPSOffice_Level2"/>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w:t>
      </w:r>
      <w:bookmarkEnd w:id="144"/>
      <w:r>
        <w:rPr>
          <w:rFonts w:hint="eastAsia" w:ascii="宋体" w:hAnsi="宋体" w:eastAsia="宋体" w:cs="宋体"/>
          <w:b/>
          <w:sz w:val="24"/>
          <w:highlight w:val="none"/>
          <w:lang w:val="en-US" w:eastAsia="zh-CN"/>
        </w:rPr>
        <w:t>6</w:t>
      </w:r>
      <w:r>
        <w:rPr>
          <w:rFonts w:hint="eastAsia" w:ascii="宋体" w:hAnsi="宋体" w:eastAsia="宋体" w:cs="宋体"/>
          <w:b/>
          <w:sz w:val="24"/>
          <w:highlight w:val="none"/>
        </w:rPr>
        <w:t xml:space="preserve"> 参加本次采购活动前三年内，在经营活动中没有违法记录的</w:t>
      </w:r>
      <w:bookmarkEnd w:id="145"/>
      <w:bookmarkStart w:id="146" w:name="_Toc3418_WPSOffice_Level2"/>
      <w:r>
        <w:rPr>
          <w:rFonts w:hint="eastAsia" w:ascii="宋体" w:hAnsi="宋体" w:eastAsia="宋体" w:cs="宋体"/>
          <w:b/>
          <w:sz w:val="24"/>
          <w:highlight w:val="none"/>
        </w:rPr>
        <w:t>书面声明</w:t>
      </w:r>
      <w:bookmarkEnd w:id="146"/>
      <w:bookmarkStart w:id="147" w:name="_Toc1260_WPSOffice_Level2"/>
      <w:r>
        <w:rPr>
          <w:rFonts w:hint="eastAsia" w:ascii="宋体" w:hAnsi="宋体" w:eastAsia="宋体" w:cs="宋体"/>
          <w:b/>
          <w:iCs/>
          <w:sz w:val="24"/>
          <w:highlight w:val="none"/>
        </w:rPr>
        <w:t>（内容及格式自拟，加盖供应商公章）</w:t>
      </w:r>
      <w:bookmarkEnd w:id="147"/>
    </w:p>
    <w:p>
      <w:pPr>
        <w:tabs>
          <w:tab w:val="left" w:pos="5580"/>
        </w:tabs>
        <w:spacing w:line="360" w:lineRule="auto"/>
        <w:jc w:val="center"/>
        <w:rPr>
          <w:rFonts w:hint="eastAsia" w:ascii="宋体" w:hAnsi="宋体" w:eastAsia="宋体" w:cs="宋体"/>
          <w:b/>
          <w:sz w:val="24"/>
          <w:szCs w:val="24"/>
          <w:highlight w:val="none"/>
        </w:rPr>
      </w:pPr>
      <w:r>
        <w:rPr>
          <w:rFonts w:hint="eastAsia" w:ascii="宋体" w:hAnsi="宋体" w:eastAsia="宋体" w:cs="宋体"/>
          <w:b/>
          <w:iCs/>
          <w:sz w:val="24"/>
          <w:highlight w:val="none"/>
        </w:rPr>
        <w:br w:type="page"/>
      </w:r>
      <w:bookmarkStart w:id="148" w:name="_Toc18872_WPSOffice_Level2"/>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参选人</w:t>
      </w:r>
      <w:r>
        <w:rPr>
          <w:rFonts w:hint="eastAsia" w:ascii="宋体" w:hAnsi="宋体" w:eastAsia="宋体" w:cs="宋体"/>
          <w:b/>
          <w:sz w:val="24"/>
          <w:szCs w:val="24"/>
          <w:highlight w:val="none"/>
        </w:rPr>
        <w:t>无关联关系书面承诺函</w:t>
      </w:r>
      <w:bookmarkEnd w:id="148"/>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北京</w:t>
      </w:r>
      <w:r>
        <w:rPr>
          <w:rFonts w:hint="eastAsia" w:ascii="宋体" w:hAnsi="宋体" w:eastAsia="宋体" w:cs="宋体"/>
          <w:sz w:val="24"/>
          <w:szCs w:val="24"/>
          <w:highlight w:val="none"/>
          <w:lang w:eastAsia="zh-CN"/>
        </w:rPr>
        <w:t>急救中心</w:t>
      </w:r>
      <w:r>
        <w:rPr>
          <w:rFonts w:hint="eastAsia" w:ascii="宋体" w:hAnsi="宋体" w:eastAsia="宋体" w:cs="宋体"/>
          <w:sz w:val="24"/>
          <w:szCs w:val="24"/>
          <w:highlight w:val="none"/>
        </w:rPr>
        <w:t>：</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我单位郑重承诺：与我方单位负责人为同一人或者存在直接控股、管理关系的不同</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，未同时参加本项目同一合同项下的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活动，否则我方自动放弃参加本项目所涉及的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权利。</w:t>
      </w:r>
    </w:p>
    <w:p>
      <w:pPr>
        <w:tabs>
          <w:tab w:val="left" w:pos="5580"/>
        </w:tabs>
        <w:spacing w:line="360" w:lineRule="auto"/>
        <w:jc w:val="left"/>
        <w:rPr>
          <w:rFonts w:hint="eastAsia" w:ascii="宋体" w:hAnsi="宋体" w:eastAsia="宋体" w:cs="宋体"/>
          <w:sz w:val="24"/>
          <w:szCs w:val="24"/>
          <w:highlight w:val="none"/>
        </w:rPr>
      </w:pPr>
    </w:p>
    <w:p>
      <w:pPr>
        <w:pStyle w:val="32"/>
        <w:spacing w:line="360" w:lineRule="auto"/>
        <w:rPr>
          <w:rFonts w:hint="eastAsia"/>
          <w:highlight w:val="none"/>
        </w:rPr>
      </w:pP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我单位保证上述承诺真实、有效、可查。</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5580"/>
        </w:tabs>
        <w:spacing w:line="360" w:lineRule="auto"/>
        <w:jc w:val="left"/>
        <w:rPr>
          <w:rFonts w:hint="eastAsia" w:ascii="宋体" w:hAnsi="宋体" w:eastAsia="宋体" w:cs="宋体"/>
          <w:sz w:val="24"/>
          <w:szCs w:val="24"/>
          <w:highlight w:val="none"/>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900"/>
          <w:tab w:val="left" w:pos="1134"/>
          <w:tab w:val="left" w:pos="1589"/>
          <w:tab w:val="left" w:pos="5521"/>
        </w:tabs>
        <w:snapToGrid w:val="0"/>
        <w:spacing w:line="360" w:lineRule="auto"/>
        <w:jc w:val="center"/>
        <w:rPr>
          <w:rFonts w:hint="eastAsia" w:ascii="宋体" w:hAnsi="宋体" w:eastAsia="宋体" w:cs="宋体"/>
          <w:b/>
          <w:sz w:val="24"/>
          <w:szCs w:val="24"/>
          <w:highlight w:val="none"/>
          <w:lang w:eastAsia="zh-CN"/>
        </w:rPr>
      </w:pPr>
      <w:bookmarkStart w:id="149" w:name="_Toc28762_WPSOffice_Level3"/>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文件要求的其他资格证明文件</w:t>
      </w:r>
      <w:bookmarkEnd w:id="149"/>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r>
        <w:rPr>
          <w:rFonts w:hint="eastAsia" w:ascii="宋体" w:hAnsi="宋体" w:eastAsia="宋体" w:cs="宋体"/>
          <w:b/>
          <w:sz w:val="24"/>
          <w:szCs w:val="24"/>
          <w:highlight w:val="none"/>
          <w:lang w:eastAsia="zh-CN"/>
        </w:rPr>
        <w:t>）</w:t>
      </w:r>
    </w:p>
    <w:p>
      <w:pPr>
        <w:tabs>
          <w:tab w:val="left" w:pos="5580"/>
        </w:tabs>
        <w:spacing w:line="360" w:lineRule="auto"/>
        <w:jc w:val="center"/>
        <w:rPr>
          <w:rFonts w:hint="eastAsia" w:ascii="宋体" w:hAnsi="宋体" w:eastAsia="宋体" w:cs="宋体"/>
          <w:b/>
          <w:sz w:val="24"/>
          <w:szCs w:val="24"/>
          <w:highlight w:val="none"/>
          <w:lang w:eastAsia="zh-CN"/>
        </w:rPr>
      </w:pPr>
    </w:p>
    <w:p>
      <w:pPr>
        <w:spacing w:line="360" w:lineRule="auto"/>
        <w:rPr>
          <w:rFonts w:hint="eastAsia"/>
          <w:highlight w:val="none"/>
          <w:lang w:eastAsia="zh-CN"/>
        </w:rPr>
        <w:sectPr>
          <w:headerReference r:id="rId7" w:type="default"/>
          <w:footerReference r:id="rId8" w:type="default"/>
          <w:footerReference r:id="rId9" w:type="even"/>
          <w:pgSz w:w="11906" w:h="16838"/>
          <w:pgMar w:top="1440" w:right="1800" w:bottom="1440" w:left="1800" w:header="851" w:footer="992" w:gutter="0"/>
          <w:cols w:space="425" w:num="1"/>
          <w:titlePg/>
          <w:docGrid w:type="lines" w:linePitch="312" w:charSpace="0"/>
        </w:sectPr>
      </w:pPr>
    </w:p>
    <w:p>
      <w:pPr>
        <w:spacing w:line="360" w:lineRule="auto"/>
        <w:jc w:val="both"/>
        <w:outlineLvl w:val="9"/>
        <w:rPr>
          <w:rFonts w:hint="eastAsia" w:ascii="宋体" w:hAnsi="宋体" w:eastAsia="宋体" w:cs="宋体"/>
          <w:highlight w:val="none"/>
        </w:rPr>
      </w:pPr>
      <w:bookmarkStart w:id="150" w:name="_Toc332809421"/>
      <w:bookmarkStart w:id="151" w:name="_Toc28066_WPSOffice_Level2"/>
      <w:r>
        <w:rPr>
          <w:rFonts w:hint="eastAsia" w:ascii="宋体" w:hAnsi="宋体" w:eastAsia="宋体" w:cs="宋体"/>
          <w:b/>
          <w:sz w:val="24"/>
          <w:highlight w:val="none"/>
        </w:rPr>
        <w:t>附件</w:t>
      </w:r>
      <w:bookmarkEnd w:id="142"/>
      <w:bookmarkEnd w:id="143"/>
      <w:bookmarkEnd w:id="150"/>
      <w:r>
        <w:rPr>
          <w:rFonts w:hint="eastAsia" w:ascii="宋体" w:hAnsi="宋体" w:eastAsia="宋体" w:cs="宋体"/>
          <w:b/>
          <w:sz w:val="24"/>
          <w:highlight w:val="none"/>
          <w:lang w:val="en-US" w:eastAsia="zh-CN"/>
        </w:rPr>
        <w:t xml:space="preserve">6 </w:t>
      </w:r>
      <w:bookmarkEnd w:id="151"/>
      <w:r>
        <w:rPr>
          <w:rFonts w:hint="eastAsia" w:ascii="宋体" w:hAnsi="宋体" w:eastAsia="宋体" w:cs="宋体"/>
          <w:b/>
          <w:sz w:val="24"/>
          <w:highlight w:val="none"/>
        </w:rPr>
        <w:t>业绩案例一览表</w:t>
      </w:r>
    </w:p>
    <w:p>
      <w:pPr>
        <w:pStyle w:val="70"/>
        <w:spacing w:line="360" w:lineRule="auto"/>
        <w:rPr>
          <w:rFonts w:hint="eastAsia" w:ascii="宋体" w:hAnsi="宋体" w:eastAsia="宋体" w:cs="宋体"/>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8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126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用户名称</w:t>
            </w:r>
          </w:p>
        </w:tc>
        <w:tc>
          <w:tcPr>
            <w:tcW w:w="126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合同金额</w:t>
            </w:r>
          </w:p>
        </w:tc>
        <w:tc>
          <w:tcPr>
            <w:tcW w:w="144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用户联系人</w:t>
            </w:r>
          </w:p>
        </w:tc>
        <w:tc>
          <w:tcPr>
            <w:tcW w:w="1778"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用户联系电话</w:t>
            </w:r>
          </w:p>
        </w:tc>
        <w:tc>
          <w:tcPr>
            <w:tcW w:w="72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pPr>
              <w:spacing w:line="360" w:lineRule="auto"/>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bl>
    <w:p>
      <w:pPr>
        <w:spacing w:line="360" w:lineRule="auto"/>
        <w:jc w:val="left"/>
        <w:rPr>
          <w:rFonts w:hint="eastAsia" w:ascii="宋体" w:hAnsi="宋体" w:eastAsia="宋体" w:cs="宋体"/>
          <w:b/>
          <w:sz w:val="24"/>
          <w:highlight w:val="none"/>
        </w:rPr>
      </w:pPr>
      <w:r>
        <w:rPr>
          <w:rFonts w:hint="eastAsia" w:ascii="宋体" w:hAnsi="宋体" w:eastAsia="宋体" w:cs="宋体"/>
          <w:b/>
          <w:kern w:val="0"/>
          <w:sz w:val="24"/>
          <w:szCs w:val="20"/>
          <w:highlight w:val="none"/>
        </w:rPr>
        <w:t>注：</w:t>
      </w:r>
      <w:r>
        <w:rPr>
          <w:rFonts w:hint="eastAsia" w:ascii="宋体" w:hAnsi="宋体" w:eastAsia="宋体" w:cs="宋体"/>
          <w:b/>
          <w:sz w:val="24"/>
          <w:highlight w:val="none"/>
        </w:rPr>
        <w:t>（须提供可体现合同关键页复印件，即合同首页、中标金额页及双方签字盖章页，前述材料均应为供应商业绩，须加盖本单位公章，评委保留对上述资料原件审核的权利。）</w:t>
      </w:r>
    </w:p>
    <w:p>
      <w:pPr>
        <w:widowControl/>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360" w:lineRule="auto"/>
        <w:jc w:val="center"/>
        <w:rPr>
          <w:rFonts w:hint="eastAsia" w:ascii="宋体" w:hAnsi="宋体" w:eastAsia="宋体" w:cs="宋体"/>
          <w:b/>
          <w:kern w:val="0"/>
          <w:sz w:val="24"/>
          <w:szCs w:val="24"/>
          <w:highlight w:val="none"/>
        </w:rPr>
      </w:pPr>
      <w:bookmarkStart w:id="152" w:name="_Toc14540_WPSOffice_Level2"/>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 xml:space="preserve">7 </w:t>
      </w:r>
      <w:bookmarkEnd w:id="152"/>
      <w:r>
        <w:rPr>
          <w:rFonts w:hint="eastAsia" w:ascii="宋体" w:hAnsi="宋体" w:eastAsia="宋体" w:cs="宋体"/>
          <w:b/>
          <w:sz w:val="24"/>
          <w:szCs w:val="24"/>
          <w:highlight w:val="none"/>
          <w:lang w:val="en-US" w:eastAsia="zh-CN"/>
        </w:rPr>
        <w:t>服务方案等</w:t>
      </w:r>
      <w:r>
        <w:rPr>
          <w:rFonts w:hint="eastAsia" w:ascii="宋体" w:hAnsi="宋体" w:eastAsia="宋体" w:cs="宋体"/>
          <w:b/>
          <w:kern w:val="0"/>
          <w:sz w:val="24"/>
          <w:szCs w:val="24"/>
          <w:highlight w:val="none"/>
        </w:rPr>
        <w:t>其他资料</w:t>
      </w:r>
    </w:p>
    <w:p>
      <w:pPr>
        <w:spacing w:line="360" w:lineRule="auto"/>
        <w:rPr>
          <w:rFonts w:hint="eastAsia" w:ascii="宋体" w:hAnsi="宋体" w:eastAsia="宋体" w:cs="宋体"/>
          <w:b/>
          <w:kern w:val="0"/>
          <w:sz w:val="24"/>
          <w:highlight w:val="none"/>
        </w:rPr>
      </w:pPr>
    </w:p>
    <w:p>
      <w:pPr>
        <w:pStyle w:val="32"/>
        <w:spacing w:line="360" w:lineRule="auto"/>
        <w:ind w:left="0" w:leftChars="0" w:firstLine="0" w:firstLineChars="0"/>
        <w:rPr>
          <w:rFonts w:hint="eastAsia" w:ascii="宋体" w:hAnsi="宋体" w:eastAsia="宋体" w:cs="宋体"/>
          <w:highlight w:val="none"/>
        </w:rPr>
      </w:pPr>
    </w:p>
    <w:sectPr>
      <w:headerReference r:id="rId10" w:type="default"/>
      <w:footerReference r:id="rId11"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D968CA-9E55-47A0-AD7D-FE26E3198F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E9F3F2A5-B7C8-443B-B072-5606A3F4D7A9}"/>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03843CAA-86FD-40A9-B5AB-E3981AC5D733}"/>
  </w:font>
  <w:font w:name="方正仿宋_GB2312">
    <w:panose1 w:val="02000000000000000000"/>
    <w:charset w:val="86"/>
    <w:family w:val="auto"/>
    <w:pitch w:val="default"/>
    <w:sig w:usb0="A00002BF" w:usb1="184F6CFA" w:usb2="00000012" w:usb3="00000000" w:csb0="00040001" w:csb1="00000000"/>
    <w:embedRegular r:id="rId4" w:fontKey="{557F6C9D-F619-48DA-AD09-40B43A13C8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7"/>
      </w:rPr>
    </w:pPr>
  </w:p>
  <w:p>
    <w:pPr>
      <w:pStyle w:val="20"/>
      <w:ind w:right="450" w:firstLine="360"/>
      <w:jc w:val="center"/>
    </w:pPr>
    <w:r>
      <w:rPr>
        <w:rStyle w:val="37"/>
      </w:rPr>
      <w:fldChar w:fldCharType="begin"/>
    </w:r>
    <w:r>
      <w:rPr>
        <w:rStyle w:val="37"/>
      </w:rPr>
      <w:instrText xml:space="preserve"> PAGE </w:instrText>
    </w:r>
    <w:r>
      <w:rPr>
        <w:rStyle w:val="37"/>
      </w:rPr>
      <w:fldChar w:fldCharType="separate"/>
    </w:r>
    <w:r>
      <w:rPr>
        <w:rStyle w:val="37"/>
      </w:rPr>
      <w:t>3</w:t>
    </w:r>
    <w:r>
      <w:rPr>
        <w:rStyle w:val="3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44863"/>
    </w:sdtPr>
    <w:sdtContent>
      <w:p>
        <w:pPr>
          <w:pStyle w:val="20"/>
          <w:jc w:val="center"/>
        </w:pPr>
        <w:r>
          <w:fldChar w:fldCharType="begin"/>
        </w:r>
        <w:r>
          <w:instrText xml:space="preserve">PAGE   \* MERGEFORMAT</w:instrText>
        </w:r>
        <w:r>
          <w:fldChar w:fldCharType="separate"/>
        </w:r>
        <w:r>
          <w:rPr>
            <w:lang w:val="zh-CN"/>
          </w:rPr>
          <w:t>1</w:t>
        </w:r>
        <w:r>
          <w:fldChar w:fldCharType="end"/>
        </w:r>
      </w:p>
    </w:sdtContent>
  </w:sdt>
  <w:p>
    <w:pPr>
      <w:pStyle w:val="20"/>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NTI3NzgyNjhmMjE1ODkxMjRjYTAxOTUyNzgzM2YifQ=="/>
  </w:docVars>
  <w:rsids>
    <w:rsidRoot w:val="00000000"/>
    <w:rsid w:val="00E420AB"/>
    <w:rsid w:val="02482304"/>
    <w:rsid w:val="03F84D6E"/>
    <w:rsid w:val="082F2D28"/>
    <w:rsid w:val="0A36214C"/>
    <w:rsid w:val="0A8D3D36"/>
    <w:rsid w:val="0BD00FD0"/>
    <w:rsid w:val="0C562B22"/>
    <w:rsid w:val="0E150BB3"/>
    <w:rsid w:val="19410964"/>
    <w:rsid w:val="197D7E88"/>
    <w:rsid w:val="1C2A1D10"/>
    <w:rsid w:val="1C9A47BD"/>
    <w:rsid w:val="1F3009F6"/>
    <w:rsid w:val="22B80481"/>
    <w:rsid w:val="237D3CE7"/>
    <w:rsid w:val="2BF35C97"/>
    <w:rsid w:val="2CFD245C"/>
    <w:rsid w:val="2DC35A21"/>
    <w:rsid w:val="2DCA2A28"/>
    <w:rsid w:val="2F5A7DDB"/>
    <w:rsid w:val="32AD64A9"/>
    <w:rsid w:val="367A3428"/>
    <w:rsid w:val="38B060F0"/>
    <w:rsid w:val="39A700C1"/>
    <w:rsid w:val="3B2A2E1D"/>
    <w:rsid w:val="3DF322DC"/>
    <w:rsid w:val="415D2778"/>
    <w:rsid w:val="41927D1E"/>
    <w:rsid w:val="46A673AB"/>
    <w:rsid w:val="479C6D8B"/>
    <w:rsid w:val="49667651"/>
    <w:rsid w:val="4BBE7798"/>
    <w:rsid w:val="4C3C25E2"/>
    <w:rsid w:val="54C87168"/>
    <w:rsid w:val="564B20A8"/>
    <w:rsid w:val="564B5188"/>
    <w:rsid w:val="587865E1"/>
    <w:rsid w:val="5AD4305A"/>
    <w:rsid w:val="5CAD1785"/>
    <w:rsid w:val="5D26389A"/>
    <w:rsid w:val="5F5FEDB5"/>
    <w:rsid w:val="65202952"/>
    <w:rsid w:val="65AB4911"/>
    <w:rsid w:val="67D77EAD"/>
    <w:rsid w:val="6A314464"/>
    <w:rsid w:val="6AAE27AE"/>
    <w:rsid w:val="70CC1BE0"/>
    <w:rsid w:val="724203AC"/>
    <w:rsid w:val="72E07BB8"/>
    <w:rsid w:val="75DC28C5"/>
    <w:rsid w:val="77F43EF6"/>
    <w:rsid w:val="7ADA26F5"/>
    <w:rsid w:val="7DFC6781"/>
    <w:rsid w:val="7E947EBC"/>
    <w:rsid w:val="7FDEEF22"/>
    <w:rsid w:val="ABEF0876"/>
    <w:rsid w:val="BBFF8C54"/>
    <w:rsid w:val="BE3ACDD6"/>
    <w:rsid w:val="C3FF8574"/>
    <w:rsid w:val="E3F4EFE2"/>
    <w:rsid w:val="F7F39B1C"/>
    <w:rsid w:val="FFD67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autoRedefine/>
    <w:qFormat/>
    <w:uiPriority w:val="9"/>
    <w:pPr>
      <w:keepNext/>
      <w:keepLines/>
      <w:spacing w:before="340" w:after="330" w:line="576" w:lineRule="auto"/>
      <w:jc w:val="left"/>
      <w:outlineLvl w:val="0"/>
    </w:pPr>
    <w:rPr>
      <w:rFonts w:eastAsia="仿宋"/>
      <w:b/>
      <w:kern w:val="44"/>
      <w:sz w:val="28"/>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1260"/>
      <w:jc w:val="left"/>
    </w:pPr>
    <w:rPr>
      <w:rFonts w:eastAsiaTheme="minorHAnsi"/>
      <w:sz w:val="18"/>
      <w:szCs w:val="18"/>
    </w:rPr>
  </w:style>
  <w:style w:type="paragraph" w:styleId="8">
    <w:name w:val="Normal Indent"/>
    <w:basedOn w:val="1"/>
    <w:autoRedefine/>
    <w:qFormat/>
    <w:uiPriority w:val="0"/>
    <w:pPr>
      <w:ind w:firstLine="420" w:firstLineChars="200"/>
    </w:pPr>
    <w:rPr>
      <w:rFonts w:ascii="Times New Roman" w:hAnsi="Times New Roman" w:eastAsia="宋体" w:cs="Times New Roman"/>
      <w:szCs w:val="24"/>
    </w:rPr>
  </w:style>
  <w:style w:type="paragraph" w:styleId="9">
    <w:name w:val="annotation text"/>
    <w:basedOn w:val="1"/>
    <w:link w:val="44"/>
    <w:autoRedefine/>
    <w:qFormat/>
    <w:uiPriority w:val="0"/>
    <w:pPr>
      <w:jc w:val="left"/>
    </w:pPr>
    <w:rPr>
      <w:rFonts w:ascii="Times New Roman" w:hAnsi="Times New Roman" w:eastAsia="宋体" w:cs="Times New Roman"/>
      <w:szCs w:val="24"/>
    </w:rPr>
  </w:style>
  <w:style w:type="paragraph" w:styleId="10">
    <w:name w:val="Body Text"/>
    <w:basedOn w:val="1"/>
    <w:link w:val="42"/>
    <w:autoRedefine/>
    <w:unhideWhenUsed/>
    <w:qFormat/>
    <w:uiPriority w:val="99"/>
    <w:pPr>
      <w:spacing w:after="120"/>
    </w:pPr>
  </w:style>
  <w:style w:type="paragraph" w:styleId="11">
    <w:name w:val="Body Text Indent"/>
    <w:basedOn w:val="1"/>
    <w:next w:val="12"/>
    <w:link w:val="46"/>
    <w:autoRedefine/>
    <w:unhideWhenUsed/>
    <w:qFormat/>
    <w:uiPriority w:val="99"/>
    <w:pPr>
      <w:spacing w:after="120"/>
      <w:ind w:left="420" w:leftChars="200"/>
    </w:pPr>
  </w:style>
  <w:style w:type="paragraph" w:styleId="12">
    <w:name w:val="envelope return"/>
    <w:basedOn w:val="1"/>
    <w:autoRedefine/>
    <w:unhideWhenUsed/>
    <w:qFormat/>
    <w:uiPriority w:val="0"/>
    <w:pPr>
      <w:snapToGrid w:val="0"/>
    </w:pPr>
    <w:rPr>
      <w:rFonts w:ascii="Arial" w:hAnsi="Arial"/>
    </w:rPr>
  </w:style>
  <w:style w:type="paragraph" w:styleId="13">
    <w:name w:val="toc 5"/>
    <w:basedOn w:val="1"/>
    <w:next w:val="1"/>
    <w:autoRedefine/>
    <w:unhideWhenUsed/>
    <w:qFormat/>
    <w:uiPriority w:val="39"/>
    <w:pPr>
      <w:ind w:left="840"/>
      <w:jc w:val="left"/>
    </w:pPr>
    <w:rPr>
      <w:rFonts w:eastAsiaTheme="minorHAnsi"/>
      <w:sz w:val="18"/>
      <w:szCs w:val="18"/>
    </w:rPr>
  </w:style>
  <w:style w:type="paragraph" w:styleId="14">
    <w:name w:val="toc 3"/>
    <w:basedOn w:val="1"/>
    <w:next w:val="1"/>
    <w:autoRedefine/>
    <w:unhideWhenUsed/>
    <w:qFormat/>
    <w:uiPriority w:val="39"/>
    <w:pPr>
      <w:ind w:left="420"/>
      <w:jc w:val="left"/>
    </w:pPr>
    <w:rPr>
      <w:rFonts w:eastAsiaTheme="minorHAnsi"/>
      <w:i/>
      <w:iCs/>
      <w:sz w:val="20"/>
      <w:szCs w:val="20"/>
    </w:rPr>
  </w:style>
  <w:style w:type="paragraph" w:styleId="15">
    <w:name w:val="Plain Text"/>
    <w:basedOn w:val="1"/>
    <w:link w:val="45"/>
    <w:autoRedefine/>
    <w:qFormat/>
    <w:uiPriority w:val="0"/>
    <w:rPr>
      <w:rFonts w:ascii="宋体" w:hAnsi="Courier New" w:eastAsia="宋体" w:cs="Times New Roman"/>
      <w:szCs w:val="20"/>
    </w:rPr>
  </w:style>
  <w:style w:type="paragraph" w:styleId="16">
    <w:name w:val="toc 8"/>
    <w:basedOn w:val="1"/>
    <w:next w:val="1"/>
    <w:autoRedefine/>
    <w:unhideWhenUsed/>
    <w:qFormat/>
    <w:uiPriority w:val="39"/>
    <w:pPr>
      <w:ind w:left="1470"/>
      <w:jc w:val="left"/>
    </w:pPr>
    <w:rPr>
      <w:rFonts w:eastAsiaTheme="minorHAnsi"/>
      <w:sz w:val="18"/>
      <w:szCs w:val="18"/>
    </w:rPr>
  </w:style>
  <w:style w:type="paragraph" w:styleId="17">
    <w:name w:val="Date"/>
    <w:basedOn w:val="1"/>
    <w:next w:val="1"/>
    <w:autoRedefine/>
    <w:qFormat/>
    <w:uiPriority w:val="0"/>
    <w:rPr>
      <w:rFonts w:ascii="Times New Roman" w:hAnsi="Times New Roman" w:eastAsia="宋体" w:cs="Times New Roman"/>
      <w:sz w:val="24"/>
      <w:szCs w:val="20"/>
    </w:rPr>
  </w:style>
  <w:style w:type="paragraph" w:styleId="18">
    <w:name w:val="Body Text Indent 2"/>
    <w:basedOn w:val="1"/>
    <w:link w:val="48"/>
    <w:autoRedefine/>
    <w:unhideWhenUsed/>
    <w:qFormat/>
    <w:uiPriority w:val="99"/>
    <w:pPr>
      <w:spacing w:after="120" w:line="480" w:lineRule="auto"/>
      <w:ind w:left="420" w:leftChars="200"/>
    </w:pPr>
  </w:style>
  <w:style w:type="paragraph" w:styleId="19">
    <w:name w:val="Balloon Text"/>
    <w:basedOn w:val="1"/>
    <w:link w:val="57"/>
    <w:autoRedefine/>
    <w:unhideWhenUsed/>
    <w:qFormat/>
    <w:uiPriority w:val="99"/>
    <w:rPr>
      <w:sz w:val="18"/>
      <w:szCs w:val="18"/>
    </w:rPr>
  </w:style>
  <w:style w:type="paragraph" w:styleId="20">
    <w:name w:val="footer"/>
    <w:basedOn w:val="1"/>
    <w:link w:val="41"/>
    <w:autoRedefine/>
    <w:unhideWhenUsed/>
    <w:qFormat/>
    <w:uiPriority w:val="99"/>
    <w:pPr>
      <w:tabs>
        <w:tab w:val="center" w:pos="4153"/>
        <w:tab w:val="right" w:pos="8306"/>
      </w:tabs>
      <w:snapToGrid w:val="0"/>
      <w:jc w:val="left"/>
    </w:pPr>
    <w:rPr>
      <w:sz w:val="18"/>
      <w:szCs w:val="18"/>
    </w:rPr>
  </w:style>
  <w:style w:type="paragraph" w:styleId="21">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jc w:val="left"/>
    </w:pPr>
    <w:rPr>
      <w:rFonts w:eastAsiaTheme="minorHAnsi"/>
      <w:b/>
      <w:bCs/>
      <w:caps/>
      <w:sz w:val="20"/>
      <w:szCs w:val="20"/>
    </w:rPr>
  </w:style>
  <w:style w:type="paragraph" w:styleId="23">
    <w:name w:val="toc 4"/>
    <w:basedOn w:val="1"/>
    <w:next w:val="1"/>
    <w:autoRedefine/>
    <w:unhideWhenUsed/>
    <w:qFormat/>
    <w:uiPriority w:val="39"/>
    <w:pPr>
      <w:ind w:left="630"/>
      <w:jc w:val="left"/>
    </w:pPr>
    <w:rPr>
      <w:rFonts w:eastAsiaTheme="minorHAnsi"/>
      <w:sz w:val="18"/>
      <w:szCs w:val="18"/>
    </w:rPr>
  </w:style>
  <w:style w:type="paragraph" w:styleId="24">
    <w:name w:val="toc 6"/>
    <w:basedOn w:val="1"/>
    <w:next w:val="1"/>
    <w:autoRedefine/>
    <w:unhideWhenUsed/>
    <w:qFormat/>
    <w:uiPriority w:val="39"/>
    <w:pPr>
      <w:ind w:left="1050"/>
      <w:jc w:val="left"/>
    </w:pPr>
    <w:rPr>
      <w:rFonts w:eastAsiaTheme="minorHAnsi"/>
      <w:sz w:val="18"/>
      <w:szCs w:val="18"/>
    </w:rPr>
  </w:style>
  <w:style w:type="paragraph" w:styleId="25">
    <w:name w:val="toc 2"/>
    <w:basedOn w:val="1"/>
    <w:next w:val="1"/>
    <w:autoRedefine/>
    <w:unhideWhenUsed/>
    <w:qFormat/>
    <w:uiPriority w:val="39"/>
    <w:pPr>
      <w:ind w:left="210"/>
      <w:jc w:val="left"/>
    </w:pPr>
    <w:rPr>
      <w:rFonts w:eastAsiaTheme="minorHAnsi"/>
      <w:smallCaps/>
      <w:sz w:val="20"/>
      <w:szCs w:val="20"/>
    </w:rPr>
  </w:style>
  <w:style w:type="paragraph" w:styleId="26">
    <w:name w:val="toc 9"/>
    <w:basedOn w:val="1"/>
    <w:next w:val="1"/>
    <w:autoRedefine/>
    <w:unhideWhenUsed/>
    <w:qFormat/>
    <w:uiPriority w:val="39"/>
    <w:pPr>
      <w:ind w:left="1680"/>
      <w:jc w:val="left"/>
    </w:pPr>
    <w:rPr>
      <w:rFonts w:eastAsiaTheme="minorHAnsi"/>
      <w:sz w:val="18"/>
      <w:szCs w:val="18"/>
    </w:rPr>
  </w:style>
  <w:style w:type="paragraph" w:styleId="2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index 1"/>
    <w:basedOn w:val="1"/>
    <w:next w:val="1"/>
    <w:autoRedefine/>
    <w:semiHidden/>
    <w:qFormat/>
    <w:uiPriority w:val="0"/>
    <w:rPr>
      <w:rFonts w:ascii="Times New Roman" w:hAnsi="Times New Roman" w:eastAsia="宋体" w:cs="Times New Roman"/>
      <w:szCs w:val="20"/>
    </w:rPr>
  </w:style>
  <w:style w:type="paragraph" w:styleId="30">
    <w:name w:val="Title"/>
    <w:basedOn w:val="1"/>
    <w:link w:val="63"/>
    <w:autoRedefine/>
    <w:qFormat/>
    <w:uiPriority w:val="0"/>
    <w:pPr>
      <w:spacing w:before="240" w:after="60"/>
      <w:jc w:val="center"/>
      <w:outlineLvl w:val="0"/>
    </w:pPr>
    <w:rPr>
      <w:rFonts w:ascii="Arial" w:hAnsi="Arial" w:eastAsia="宋体" w:cs="Arial"/>
      <w:b/>
      <w:bCs/>
      <w:sz w:val="32"/>
      <w:szCs w:val="32"/>
    </w:rPr>
  </w:style>
  <w:style w:type="paragraph" w:styleId="31">
    <w:name w:val="annotation subject"/>
    <w:basedOn w:val="9"/>
    <w:next w:val="9"/>
    <w:link w:val="58"/>
    <w:autoRedefine/>
    <w:unhideWhenUsed/>
    <w:qFormat/>
    <w:uiPriority w:val="99"/>
    <w:rPr>
      <w:rFonts w:asciiTheme="minorHAnsi" w:hAnsiTheme="minorHAnsi" w:eastAsiaTheme="minorEastAsia" w:cstheme="minorBidi"/>
      <w:b/>
      <w:bCs/>
      <w:szCs w:val="22"/>
    </w:rPr>
  </w:style>
  <w:style w:type="paragraph" w:styleId="32">
    <w:name w:val="Body Text First Indent 2"/>
    <w:basedOn w:val="1"/>
    <w:next w:val="1"/>
    <w:autoRedefine/>
    <w:qFormat/>
    <w:uiPriority w:val="0"/>
    <w:pPr>
      <w:ind w:firstLine="420" w:firstLineChars="200"/>
    </w:pPr>
    <w:rPr>
      <w:rFonts w:ascii="Calibri" w:hAnsi="Calibri"/>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rPr>
  </w:style>
  <w:style w:type="character" w:styleId="37">
    <w:name w:val="page number"/>
    <w:basedOn w:val="35"/>
    <w:autoRedefine/>
    <w:qFormat/>
    <w:uiPriority w:val="0"/>
  </w:style>
  <w:style w:type="character" w:styleId="38">
    <w:name w:val="Hyperlink"/>
    <w:basedOn w:val="35"/>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5"/>
    <w:autoRedefine/>
    <w:unhideWhenUsed/>
    <w:qFormat/>
    <w:uiPriority w:val="0"/>
    <w:rPr>
      <w:sz w:val="21"/>
      <w:szCs w:val="21"/>
    </w:rPr>
  </w:style>
  <w:style w:type="character" w:customStyle="1" w:styleId="40">
    <w:name w:val="页眉 Char"/>
    <w:basedOn w:val="35"/>
    <w:link w:val="21"/>
    <w:autoRedefine/>
    <w:qFormat/>
    <w:uiPriority w:val="0"/>
    <w:rPr>
      <w:sz w:val="18"/>
      <w:szCs w:val="18"/>
    </w:rPr>
  </w:style>
  <w:style w:type="character" w:customStyle="1" w:styleId="41">
    <w:name w:val="页脚 Char"/>
    <w:basedOn w:val="35"/>
    <w:link w:val="20"/>
    <w:autoRedefine/>
    <w:qFormat/>
    <w:uiPriority w:val="99"/>
    <w:rPr>
      <w:sz w:val="18"/>
      <w:szCs w:val="18"/>
    </w:rPr>
  </w:style>
  <w:style w:type="character" w:customStyle="1" w:styleId="42">
    <w:name w:val="正文文本 Char1"/>
    <w:basedOn w:val="35"/>
    <w:link w:val="10"/>
    <w:autoRedefine/>
    <w:semiHidden/>
    <w:qFormat/>
    <w:uiPriority w:val="99"/>
  </w:style>
  <w:style w:type="character" w:customStyle="1" w:styleId="43">
    <w:name w:val="正文文本 Char"/>
    <w:autoRedefine/>
    <w:qFormat/>
    <w:uiPriority w:val="0"/>
    <w:rPr>
      <w:rFonts w:ascii="宋体" w:hAnsi="宋体"/>
      <w:kern w:val="2"/>
      <w:sz w:val="24"/>
      <w:szCs w:val="24"/>
    </w:rPr>
  </w:style>
  <w:style w:type="character" w:customStyle="1" w:styleId="44">
    <w:name w:val="批注文字 Char"/>
    <w:basedOn w:val="35"/>
    <w:link w:val="9"/>
    <w:autoRedefine/>
    <w:qFormat/>
    <w:uiPriority w:val="0"/>
    <w:rPr>
      <w:rFonts w:ascii="Times New Roman" w:hAnsi="Times New Roman" w:eastAsia="宋体" w:cs="Times New Roman"/>
      <w:szCs w:val="24"/>
    </w:rPr>
  </w:style>
  <w:style w:type="character" w:customStyle="1" w:styleId="45">
    <w:name w:val="纯文本 Char"/>
    <w:basedOn w:val="35"/>
    <w:link w:val="15"/>
    <w:autoRedefine/>
    <w:qFormat/>
    <w:uiPriority w:val="0"/>
    <w:rPr>
      <w:rFonts w:ascii="宋体" w:hAnsi="Courier New" w:eastAsia="宋体" w:cs="Times New Roman"/>
      <w:szCs w:val="20"/>
    </w:rPr>
  </w:style>
  <w:style w:type="character" w:customStyle="1" w:styleId="46">
    <w:name w:val="正文文本缩进 Char"/>
    <w:basedOn w:val="35"/>
    <w:link w:val="11"/>
    <w:autoRedefine/>
    <w:semiHidden/>
    <w:qFormat/>
    <w:uiPriority w:val="99"/>
  </w:style>
  <w:style w:type="paragraph" w:customStyle="1" w:styleId="47">
    <w:name w:val="p0"/>
    <w:basedOn w:val="1"/>
    <w:autoRedefine/>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character" w:customStyle="1" w:styleId="48">
    <w:name w:val="正文文本缩进 2 Char"/>
    <w:basedOn w:val="35"/>
    <w:link w:val="18"/>
    <w:autoRedefine/>
    <w:semiHidden/>
    <w:qFormat/>
    <w:uiPriority w:val="99"/>
  </w:style>
  <w:style w:type="paragraph" w:customStyle="1" w:styleId="49">
    <w:name w:val="List Paragraph"/>
    <w:basedOn w:val="1"/>
    <w:link w:val="50"/>
    <w:autoRedefine/>
    <w:qFormat/>
    <w:uiPriority w:val="34"/>
    <w:pPr>
      <w:ind w:firstLine="420" w:firstLineChars="200"/>
    </w:pPr>
  </w:style>
  <w:style w:type="character" w:customStyle="1" w:styleId="50">
    <w:name w:val="列出段落 Char"/>
    <w:link w:val="49"/>
    <w:autoRedefine/>
    <w:qFormat/>
    <w:uiPriority w:val="34"/>
  </w:style>
  <w:style w:type="character" w:customStyle="1" w:styleId="51">
    <w:name w:val="标题 1 Char"/>
    <w:link w:val="2"/>
    <w:autoRedefine/>
    <w:qFormat/>
    <w:uiPriority w:val="0"/>
    <w:rPr>
      <w:rFonts w:eastAsia="仿宋" w:asciiTheme="minorHAnsi" w:hAnsiTheme="minorHAnsi"/>
      <w:b/>
      <w:kern w:val="44"/>
      <w:sz w:val="28"/>
    </w:rPr>
  </w:style>
  <w:style w:type="paragraph" w:customStyle="1" w:styleId="52">
    <w:name w:val="WPSOffice手动目录 1"/>
    <w:autoRedefine/>
    <w:qFormat/>
    <w:uiPriority w:val="0"/>
    <w:rPr>
      <w:rFonts w:asciiTheme="minorHAnsi" w:hAnsiTheme="minorHAnsi" w:eastAsiaTheme="minorEastAsia" w:cstheme="minorBidi"/>
      <w:lang w:val="en-US" w:eastAsia="zh-CN" w:bidi="ar-SA"/>
    </w:rPr>
  </w:style>
  <w:style w:type="paragraph" w:customStyle="1" w:styleId="5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54">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55">
    <w:name w:val="列出段落2"/>
    <w:basedOn w:val="1"/>
    <w:autoRedefine/>
    <w:unhideWhenUsed/>
    <w:qFormat/>
    <w:uiPriority w:val="99"/>
    <w:pPr>
      <w:ind w:firstLine="420" w:firstLineChars="200"/>
    </w:pPr>
  </w:style>
  <w:style w:type="paragraph" w:customStyle="1" w:styleId="56">
    <w:name w:val="_Style 13"/>
    <w:basedOn w:val="1"/>
    <w:next w:val="49"/>
    <w:autoRedefine/>
    <w:qFormat/>
    <w:uiPriority w:val="0"/>
    <w:pPr>
      <w:ind w:firstLine="420" w:firstLineChars="200"/>
    </w:pPr>
    <w:rPr>
      <w:rFonts w:ascii="Calibri" w:hAnsi="Calibri"/>
      <w:sz w:val="24"/>
      <w:lang w:val="zh-CN"/>
    </w:rPr>
  </w:style>
  <w:style w:type="character" w:customStyle="1" w:styleId="57">
    <w:name w:val="批注框文本 Char"/>
    <w:basedOn w:val="35"/>
    <w:link w:val="19"/>
    <w:autoRedefine/>
    <w:semiHidden/>
    <w:qFormat/>
    <w:uiPriority w:val="99"/>
    <w:rPr>
      <w:kern w:val="2"/>
      <w:sz w:val="18"/>
      <w:szCs w:val="18"/>
    </w:rPr>
  </w:style>
  <w:style w:type="character" w:customStyle="1" w:styleId="58">
    <w:name w:val="批注主题 Char"/>
    <w:basedOn w:val="44"/>
    <w:link w:val="31"/>
    <w:autoRedefine/>
    <w:semiHidden/>
    <w:qFormat/>
    <w:uiPriority w:val="99"/>
    <w:rPr>
      <w:rFonts w:ascii="Times New Roman" w:hAnsi="Times New Roman" w:eastAsia="宋体" w:cs="Times New Roman"/>
      <w:b/>
      <w:bCs/>
      <w:kern w:val="2"/>
      <w:sz w:val="21"/>
      <w:szCs w:val="22"/>
    </w:rPr>
  </w:style>
  <w:style w:type="paragraph" w:customStyle="1" w:styleId="59">
    <w:name w:val="reader-word-layer reader-word-s2-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Normal_19"/>
    <w:autoRedefine/>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61">
    <w:name w:val="列出段落11"/>
    <w:basedOn w:val="1"/>
    <w:autoRedefine/>
    <w:qFormat/>
    <w:uiPriority w:val="0"/>
    <w:pPr>
      <w:ind w:firstLine="420" w:firstLineChars="200"/>
    </w:pPr>
    <w:rPr>
      <w:rFonts w:ascii="Calibri" w:hAnsi="Calibri" w:eastAsia="宋体" w:cs="宋体"/>
    </w:rPr>
  </w:style>
  <w:style w:type="paragraph" w:customStyle="1" w:styleId="62">
    <w:name w:val="Normal_20"/>
    <w:autoRedefine/>
    <w:qFormat/>
    <w:uiPriority w:val="99"/>
    <w:pPr>
      <w:spacing w:before="120" w:after="240"/>
      <w:jc w:val="both"/>
    </w:pPr>
    <w:rPr>
      <w:rFonts w:ascii="Times New Roman" w:hAnsi="Times New Roman" w:eastAsia="宋体" w:cs="Calibri"/>
      <w:sz w:val="22"/>
      <w:szCs w:val="22"/>
      <w:lang w:val="ru-RU" w:eastAsia="en-US" w:bidi="ar-SA"/>
    </w:rPr>
  </w:style>
  <w:style w:type="character" w:customStyle="1" w:styleId="63">
    <w:name w:val="标题 Char"/>
    <w:basedOn w:val="35"/>
    <w:link w:val="30"/>
    <w:autoRedefine/>
    <w:qFormat/>
    <w:uiPriority w:val="0"/>
    <w:rPr>
      <w:rFonts w:ascii="Arial" w:hAnsi="Arial" w:eastAsia="宋体" w:cs="Arial"/>
      <w:b/>
      <w:bCs/>
      <w:kern w:val="2"/>
      <w:sz w:val="32"/>
      <w:szCs w:val="32"/>
    </w:rPr>
  </w:style>
  <w:style w:type="paragraph" w:customStyle="1" w:styleId="64">
    <w:name w:val="00正文"/>
    <w:basedOn w:val="1"/>
    <w:autoRedefine/>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65">
    <w:name w:val="纯文本1"/>
    <w:autoRedefine/>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character" w:customStyle="1" w:styleId="66">
    <w:name w:val="无"/>
    <w:autoRedefine/>
    <w:qFormat/>
    <w:uiPriority w:val="0"/>
  </w:style>
  <w:style w:type="character" w:customStyle="1" w:styleId="67">
    <w:name w:val="font21"/>
    <w:basedOn w:val="35"/>
    <w:autoRedefine/>
    <w:qFormat/>
    <w:uiPriority w:val="0"/>
    <w:rPr>
      <w:rFonts w:hint="eastAsia" w:ascii="宋体" w:hAnsi="宋体" w:eastAsia="宋体" w:cs="宋体"/>
      <w:color w:val="FF0000"/>
      <w:sz w:val="28"/>
      <w:szCs w:val="28"/>
      <w:u w:val="none"/>
    </w:rPr>
  </w:style>
  <w:style w:type="paragraph" w:customStyle="1" w:styleId="68">
    <w:name w:val="Plain Text"/>
    <w:basedOn w:val="1"/>
    <w:autoRedefine/>
    <w:qFormat/>
    <w:uiPriority w:val="0"/>
    <w:rPr>
      <w:rFonts w:ascii="宋体" w:hAnsi="Courier New"/>
      <w:szCs w:val="21"/>
    </w:rPr>
  </w:style>
  <w:style w:type="paragraph" w:customStyle="1" w:styleId="6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70">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customStyle="1" w:styleId="71">
    <w:name w:val="正文缩进1"/>
    <w:basedOn w:val="1"/>
    <w:autoRedefine/>
    <w:qFormat/>
    <w:uiPriority w:val="0"/>
    <w:pPr>
      <w:widowControl/>
      <w:adjustRightInd w:val="0"/>
      <w:snapToGrid w:val="0"/>
      <w:spacing w:line="480" w:lineRule="exact"/>
      <w:ind w:firstLine="567"/>
    </w:pPr>
    <w:rPr>
      <w:rFonts w:ascii="宋体" w:hAnsiTheme="minorHAnsi" w:eastAsiaTheme="minorEastAsia" w:cstheme="minorBidi"/>
      <w:snapToGrid w:val="0"/>
      <w:color w:val="000000"/>
      <w:kern w:val="28"/>
      <w:sz w:val="28"/>
      <w:szCs w:val="22"/>
    </w:rPr>
  </w:style>
  <w:style w:type="paragraph" w:customStyle="1" w:styleId="72">
    <w:name w:val="_Style 41"/>
    <w:basedOn w:val="1"/>
    <w:autoRedefine/>
    <w:qFormat/>
    <w:uiPriority w:val="0"/>
    <w:pPr>
      <w:ind w:firstLine="420" w:firstLineChars="200"/>
    </w:pPr>
    <w:rPr>
      <w:szCs w:val="20"/>
    </w:rPr>
  </w:style>
  <w:style w:type="paragraph" w:customStyle="1" w:styleId="73">
    <w:name w:val="Table Paragraph"/>
    <w:basedOn w:val="1"/>
    <w:autoRedefine/>
    <w:qFormat/>
    <w:uiPriority w:val="1"/>
  </w:style>
  <w:style w:type="table" w:customStyle="1" w:styleId="74">
    <w:name w:val="Table Normal"/>
    <w:autoRedefine/>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16414</Words>
  <Characters>17589</Characters>
  <Lines>225</Lines>
  <Paragraphs>63</Paragraphs>
  <TotalTime>7</TotalTime>
  <ScaleCrop>false</ScaleCrop>
  <LinksUpToDate>false</LinksUpToDate>
  <CharactersWithSpaces>18682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2020-05-24T21:10:00Z</dcterms:created>
  <dc:creator>sy</dc:creator>
  <cp:lastModifiedBy>徐思勤</cp:lastModifiedBy>
  <cp:lastPrinted>2022-08-06T19:33:00Z</cp:lastPrinted>
  <dcterms:modified xsi:type="dcterms:W3CDTF">2026-06-16T13:22:49Z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55484BF392BB41D4B3D1AEC115944E57_13</vt:lpwstr>
  </property>
  <property fmtid="{D5CDD505-2E9C-101B-9397-08002B2CF9AE}" pid="4" name="KSOTemplateDocerSaveRecord">
    <vt:lpwstr>eyJoZGlkIjoiNzUzNWVmZTQ2ZmZmYTQzNjcxNWYyMzA4YjJiZjFkNWYiLCJ1c2VySWQiOiI1OTA2ODYzMzYifQ==</vt:lpwstr>
  </property>
</Properties>
</file>